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049C" w14:textId="511E8915" w:rsidR="00C46BBB" w:rsidRPr="00CF0B27" w:rsidRDefault="3E20A6E7" w:rsidP="3E20A6E7">
      <w:pPr>
        <w:jc w:val="center"/>
        <w:rPr>
          <w:b/>
          <w:bCs/>
          <w:sz w:val="32"/>
          <w:szCs w:val="32"/>
          <w:lang w:val="en-CA"/>
        </w:rPr>
      </w:pPr>
      <w:r w:rsidRPr="3E20A6E7">
        <w:rPr>
          <w:b/>
          <w:bCs/>
          <w:sz w:val="32"/>
          <w:szCs w:val="32"/>
          <w:lang w:val="en-CA"/>
        </w:rPr>
        <w:t xml:space="preserve">Magic Realism </w:t>
      </w:r>
      <w:r w:rsidR="00B76587">
        <w:rPr>
          <w:b/>
          <w:bCs/>
          <w:sz w:val="32"/>
          <w:szCs w:val="32"/>
          <w:lang w:val="en-CA"/>
        </w:rPr>
        <w:t>Conclusion</w:t>
      </w:r>
    </w:p>
    <w:p w14:paraId="2746B2C3" w14:textId="17FE1021" w:rsidR="00CF0B27" w:rsidRPr="00CF0B27" w:rsidRDefault="3E20A6E7" w:rsidP="3E20A6E7">
      <w:pPr>
        <w:jc w:val="center"/>
        <w:rPr>
          <w:b/>
          <w:bCs/>
          <w:sz w:val="32"/>
          <w:szCs w:val="32"/>
          <w:lang w:val="en-CA"/>
        </w:rPr>
      </w:pPr>
      <w:r w:rsidRPr="3E20A6E7">
        <w:rPr>
          <w:b/>
          <w:bCs/>
          <w:sz w:val="32"/>
          <w:szCs w:val="32"/>
          <w:lang w:val="en-CA"/>
        </w:rPr>
        <w:t>Beckett 2</w:t>
      </w:r>
      <w:r w:rsidR="00B76587">
        <w:rPr>
          <w:b/>
          <w:bCs/>
          <w:sz w:val="32"/>
          <w:szCs w:val="32"/>
          <w:lang w:val="en-CA"/>
        </w:rPr>
        <w:t>020</w:t>
      </w:r>
    </w:p>
    <w:p w14:paraId="76C7BACC" w14:textId="77777777" w:rsidR="00AD2867" w:rsidRPr="00ED09F3" w:rsidRDefault="00AD2867" w:rsidP="00ED09F3">
      <w:pPr>
        <w:jc w:val="center"/>
        <w:rPr>
          <w:b/>
          <w:sz w:val="40"/>
          <w:u w:val="single"/>
          <w:lang w:val="en-CA"/>
        </w:rPr>
      </w:pPr>
    </w:p>
    <w:p w14:paraId="1A7A8C8D" w14:textId="62A4B826" w:rsidR="00ED09F3" w:rsidRDefault="00AE2380" w:rsidP="00AD2867">
      <w:pPr>
        <w:tabs>
          <w:tab w:val="left" w:pos="4095"/>
        </w:tabs>
        <w:rPr>
          <w:sz w:val="40"/>
        </w:rPr>
      </w:pPr>
      <w:r>
        <w:rPr>
          <w:rFonts w:ascii="Arial" w:hAnsi="Arial" w:cs="Arial"/>
          <w:i/>
          <w:iCs/>
          <w:noProof/>
          <w:sz w:val="44"/>
          <w:szCs w:val="44"/>
        </w:rPr>
        <w:drawing>
          <wp:inline distT="0" distB="0" distL="0" distR="0" wp14:anchorId="64398536" wp14:editId="1131D19C">
            <wp:extent cx="5486400" cy="3200400"/>
            <wp:effectExtent l="3810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499FD7D" w14:textId="161BC984" w:rsidR="00054709" w:rsidRPr="00B53910" w:rsidRDefault="00AE2380" w:rsidP="00EE732E">
      <w:pPr>
        <w:spacing w:line="480" w:lineRule="auto"/>
        <w:ind w:firstLine="720"/>
        <w:rPr>
          <w:lang w:val="en-CA"/>
        </w:rPr>
      </w:pPr>
      <w:r w:rsidRPr="008F6902">
        <w:rPr>
          <w:highlight w:val="yellow"/>
        </w:rPr>
        <w:t>Magical realism is often used by characters in media to comprehend and overcome trauma faced in often harsh and unfair worlds.</w:t>
      </w:r>
      <w:r>
        <w:t xml:space="preserve"> </w:t>
      </w:r>
      <w:r w:rsidR="00EE732E" w:rsidRPr="008F6902">
        <w:rPr>
          <w:highlight w:val="yellow"/>
        </w:rPr>
        <w:t xml:space="preserve">While characters all face trauma and tragedy, the hard to believe magic and the whimsy of the tale seems to serve as a </w:t>
      </w:r>
      <w:proofErr w:type="spellStart"/>
      <w:r w:rsidR="00EE732E" w:rsidRPr="008F6902">
        <w:rPr>
          <w:highlight w:val="yellow"/>
        </w:rPr>
        <w:t>balm</w:t>
      </w:r>
      <w:proofErr w:type="spellEnd"/>
      <w:r w:rsidR="00EE732E" w:rsidRPr="008F6902">
        <w:rPr>
          <w:highlight w:val="yellow"/>
        </w:rPr>
        <w:t>.</w:t>
      </w:r>
      <w:r w:rsidR="00EE732E">
        <w:t xml:space="preserve"> </w:t>
      </w:r>
      <w:r w:rsidRPr="008F6902">
        <w:rPr>
          <w:highlight w:val="green"/>
        </w:rPr>
        <w:t xml:space="preserve">Despite </w:t>
      </w:r>
      <w:r w:rsidR="00EE732E" w:rsidRPr="008F6902">
        <w:rPr>
          <w:highlight w:val="green"/>
        </w:rPr>
        <w:t>any</w:t>
      </w:r>
      <w:r w:rsidRPr="008F6902">
        <w:rPr>
          <w:highlight w:val="green"/>
        </w:rPr>
        <w:t xml:space="preserve"> doubt</w:t>
      </w:r>
      <w:r w:rsidR="00EE732E" w:rsidRPr="008F6902">
        <w:rPr>
          <w:highlight w:val="green"/>
        </w:rPr>
        <w:t>s</w:t>
      </w:r>
      <w:r w:rsidRPr="008F6902">
        <w:rPr>
          <w:highlight w:val="green"/>
        </w:rPr>
        <w:t xml:space="preserve"> on the validity of the narration of the characters</w:t>
      </w:r>
      <w:r w:rsidR="00EE732E" w:rsidRPr="008F6902">
        <w:rPr>
          <w:highlight w:val="green"/>
        </w:rPr>
        <w:t xml:space="preserve">, this magic realism </w:t>
      </w:r>
      <w:r w:rsidRPr="008F6902">
        <w:rPr>
          <w:highlight w:val="green"/>
        </w:rPr>
        <w:t xml:space="preserve">never interferes with the story that is being told, nor the challenges </w:t>
      </w:r>
      <w:r w:rsidR="00EE732E" w:rsidRPr="008F6902">
        <w:rPr>
          <w:highlight w:val="green"/>
        </w:rPr>
        <w:t xml:space="preserve">characters </w:t>
      </w:r>
      <w:r w:rsidRPr="008F6902">
        <w:rPr>
          <w:highlight w:val="green"/>
        </w:rPr>
        <w:t>must overcome. Magic</w:t>
      </w:r>
      <w:r w:rsidR="00EE732E" w:rsidRPr="008F6902">
        <w:rPr>
          <w:highlight w:val="green"/>
        </w:rPr>
        <w:t xml:space="preserve"> </w:t>
      </w:r>
      <w:r w:rsidRPr="008F6902">
        <w:rPr>
          <w:highlight w:val="green"/>
        </w:rPr>
        <w:t>realism is literary m</w:t>
      </w:r>
      <w:r w:rsidR="00EE732E" w:rsidRPr="008F6902">
        <w:rPr>
          <w:highlight w:val="green"/>
        </w:rPr>
        <w:t>ode</w:t>
      </w:r>
      <w:r w:rsidRPr="008F6902">
        <w:rPr>
          <w:highlight w:val="green"/>
        </w:rPr>
        <w:t xml:space="preserve"> that </w:t>
      </w:r>
      <w:r w:rsidR="00EE732E" w:rsidRPr="008F6902">
        <w:rPr>
          <w:highlight w:val="green"/>
        </w:rPr>
        <w:t>often conveys the</w:t>
      </w:r>
      <w:r w:rsidRPr="008F6902">
        <w:rPr>
          <w:highlight w:val="green"/>
        </w:rPr>
        <w:t xml:space="preserve"> confused mental state of </w:t>
      </w:r>
      <w:r w:rsidR="00EE732E" w:rsidRPr="008F6902">
        <w:rPr>
          <w:highlight w:val="green"/>
        </w:rPr>
        <w:t>characters that adds a kind of enigmatic quality to the writing</w:t>
      </w:r>
      <w:r w:rsidR="00EE732E" w:rsidRPr="008F6902">
        <w:rPr>
          <w:highlight w:val="cyan"/>
        </w:rPr>
        <w:t xml:space="preserve">. </w:t>
      </w:r>
      <w:r w:rsidRPr="008F6902">
        <w:rPr>
          <w:highlight w:val="cyan"/>
        </w:rPr>
        <w:t xml:space="preserve"> Trauma is difficult to </w:t>
      </w:r>
      <w:r w:rsidR="00EE732E" w:rsidRPr="008F6902">
        <w:rPr>
          <w:highlight w:val="cyan"/>
        </w:rPr>
        <w:t xml:space="preserve">overcome, but </w:t>
      </w:r>
      <w:r w:rsidRPr="008F6902">
        <w:rPr>
          <w:highlight w:val="cyan"/>
        </w:rPr>
        <w:t xml:space="preserve">by utilizing literary devices that convey </w:t>
      </w:r>
      <w:r w:rsidR="00EE732E" w:rsidRPr="008F6902">
        <w:rPr>
          <w:highlight w:val="cyan"/>
        </w:rPr>
        <w:t>feelings</w:t>
      </w:r>
      <w:r w:rsidRPr="008F6902">
        <w:rPr>
          <w:highlight w:val="cyan"/>
        </w:rPr>
        <w:t xml:space="preserve"> clearly, while still not being obvious, magic</w:t>
      </w:r>
      <w:r w:rsidR="00EE732E" w:rsidRPr="008F6902">
        <w:rPr>
          <w:highlight w:val="cyan"/>
        </w:rPr>
        <w:t xml:space="preserve"> </w:t>
      </w:r>
      <w:r w:rsidRPr="008F6902">
        <w:rPr>
          <w:highlight w:val="cyan"/>
        </w:rPr>
        <w:t xml:space="preserve">realism </w:t>
      </w:r>
      <w:r w:rsidR="00EE732E" w:rsidRPr="008F6902">
        <w:rPr>
          <w:highlight w:val="cyan"/>
        </w:rPr>
        <w:t>urges readers to deeply empathize.</w:t>
      </w:r>
      <w:r w:rsidR="00923D78" w:rsidRPr="008F6902">
        <w:rPr>
          <w:highlight w:val="cyan"/>
        </w:rPr>
        <w:t xml:space="preserve"> This empathy is so often sadly lacking in our mundane non-magic reality</w:t>
      </w:r>
      <w:r w:rsidR="00923D78">
        <w:t xml:space="preserve">. </w:t>
      </w:r>
    </w:p>
    <w:sectPr w:rsidR="00054709" w:rsidRPr="00B53910" w:rsidSect="00661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7D48"/>
    <w:multiLevelType w:val="hybridMultilevel"/>
    <w:tmpl w:val="1E88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F3"/>
    <w:rsid w:val="000103CA"/>
    <w:rsid w:val="000447C0"/>
    <w:rsid w:val="00054709"/>
    <w:rsid w:val="000B30E2"/>
    <w:rsid w:val="0012457C"/>
    <w:rsid w:val="00164019"/>
    <w:rsid w:val="0019002E"/>
    <w:rsid w:val="00387280"/>
    <w:rsid w:val="003A2A0F"/>
    <w:rsid w:val="003F1707"/>
    <w:rsid w:val="00446C3B"/>
    <w:rsid w:val="00492EA0"/>
    <w:rsid w:val="0062665D"/>
    <w:rsid w:val="00661D9F"/>
    <w:rsid w:val="008F6902"/>
    <w:rsid w:val="00907271"/>
    <w:rsid w:val="00923D78"/>
    <w:rsid w:val="00A95707"/>
    <w:rsid w:val="00AD2867"/>
    <w:rsid w:val="00AE2380"/>
    <w:rsid w:val="00B53910"/>
    <w:rsid w:val="00B76587"/>
    <w:rsid w:val="00B81BA0"/>
    <w:rsid w:val="00C268F6"/>
    <w:rsid w:val="00C46BBB"/>
    <w:rsid w:val="00CD4EE0"/>
    <w:rsid w:val="00CF0B27"/>
    <w:rsid w:val="00D228DC"/>
    <w:rsid w:val="00E406B2"/>
    <w:rsid w:val="00ED09F3"/>
    <w:rsid w:val="00EE732E"/>
    <w:rsid w:val="00F21ACF"/>
    <w:rsid w:val="00F60BE2"/>
    <w:rsid w:val="00F77802"/>
    <w:rsid w:val="3E20A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6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F3"/>
    <w:pPr>
      <w:ind w:left="720"/>
      <w:contextualSpacing/>
    </w:pPr>
  </w:style>
  <w:style w:type="table" w:styleId="TableGrid">
    <w:name w:val="Table Grid"/>
    <w:basedOn w:val="TableNormal"/>
    <w:uiPriority w:val="39"/>
    <w:rsid w:val="00A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8351E-DA74-7B4E-A45B-C83544CC2C47}" type="doc">
      <dgm:prSet loTypeId="urn:microsoft.com/office/officeart/2005/8/layout/chevron2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B56ED29-8EE4-D946-B698-020466FF5EF3}">
      <dgm:prSet phldrT="[Text]"/>
      <dgm:spPr/>
      <dgm:t>
        <a:bodyPr/>
        <a:lstStyle/>
        <a:p>
          <a:r>
            <a:rPr lang="en-US" i="0">
              <a:highlight>
                <a:srgbClr val="FFFF00"/>
              </a:highlight>
            </a:rPr>
            <a:t>Rephrase</a:t>
          </a:r>
        </a:p>
      </dgm:t>
    </dgm:pt>
    <dgm:pt modelId="{6851EBFD-B78B-874A-9AB6-065F0C063ACC}" type="parTrans" cxnId="{1B7C7DAE-383A-3E4C-AB6E-EC35E332122B}">
      <dgm:prSet/>
      <dgm:spPr/>
      <dgm:t>
        <a:bodyPr/>
        <a:lstStyle/>
        <a:p>
          <a:endParaRPr lang="en-US"/>
        </a:p>
      </dgm:t>
    </dgm:pt>
    <dgm:pt modelId="{B5D457D2-6D32-CB4F-A68D-821F9418A32D}" type="sibTrans" cxnId="{1B7C7DAE-383A-3E4C-AB6E-EC35E332122B}">
      <dgm:prSet/>
      <dgm:spPr/>
      <dgm:t>
        <a:bodyPr/>
        <a:lstStyle/>
        <a:p>
          <a:endParaRPr lang="en-US"/>
        </a:p>
      </dgm:t>
    </dgm:pt>
    <dgm:pt modelId="{A42F660C-EC27-3A4F-829A-6CD21065B2D9}">
      <dgm:prSet phldrT="[Text]"/>
      <dgm:spPr/>
      <dgm:t>
        <a:bodyPr/>
        <a:lstStyle/>
        <a:p>
          <a:r>
            <a:rPr lang="en-US"/>
            <a:t>and restate the thesis. Be sure not to repeat it exactly</a:t>
          </a:r>
        </a:p>
      </dgm:t>
    </dgm:pt>
    <dgm:pt modelId="{FBBB8610-C656-6F48-BBBF-2A558511DC89}" type="parTrans" cxnId="{C29053C7-6075-EA49-906F-0E961E3E5F09}">
      <dgm:prSet/>
      <dgm:spPr/>
      <dgm:t>
        <a:bodyPr/>
        <a:lstStyle/>
        <a:p>
          <a:endParaRPr lang="en-US"/>
        </a:p>
      </dgm:t>
    </dgm:pt>
    <dgm:pt modelId="{11D5ADA5-E040-B94A-8F91-16B13FDEFCB7}" type="sibTrans" cxnId="{C29053C7-6075-EA49-906F-0E961E3E5F09}">
      <dgm:prSet/>
      <dgm:spPr/>
      <dgm:t>
        <a:bodyPr/>
        <a:lstStyle/>
        <a:p>
          <a:endParaRPr lang="en-US"/>
        </a:p>
      </dgm:t>
    </dgm:pt>
    <dgm:pt modelId="{BAECCC5C-4F24-5944-8854-D32AB269AEDF}">
      <dgm:prSet phldrT="[Text]"/>
      <dgm:spPr/>
      <dgm:t>
        <a:bodyPr/>
        <a:lstStyle/>
        <a:p>
          <a:r>
            <a:rPr lang="en-US">
              <a:highlight>
                <a:srgbClr val="00FF00"/>
              </a:highlight>
            </a:rPr>
            <a:t>Summarisze</a:t>
          </a:r>
        </a:p>
      </dgm:t>
    </dgm:pt>
    <dgm:pt modelId="{526E02C3-75EF-3445-8CA6-75A4864E42E8}" type="parTrans" cxnId="{6724A531-6D56-7642-A7C4-95D8B32DC55E}">
      <dgm:prSet/>
      <dgm:spPr/>
      <dgm:t>
        <a:bodyPr/>
        <a:lstStyle/>
        <a:p>
          <a:endParaRPr lang="en-US"/>
        </a:p>
      </dgm:t>
    </dgm:pt>
    <dgm:pt modelId="{3D247073-343B-F447-95ED-122ADAA6B2E1}" type="sibTrans" cxnId="{6724A531-6D56-7642-A7C4-95D8B32DC55E}">
      <dgm:prSet/>
      <dgm:spPr/>
      <dgm:t>
        <a:bodyPr/>
        <a:lstStyle/>
        <a:p>
          <a:endParaRPr lang="en-US"/>
        </a:p>
      </dgm:t>
    </dgm:pt>
    <dgm:pt modelId="{7A24E469-1214-8C4A-B58A-0EB1080D9CA2}">
      <dgm:prSet phldrT="[Text]"/>
      <dgm:spPr/>
      <dgm:t>
        <a:bodyPr/>
        <a:lstStyle/>
        <a:p>
          <a:r>
            <a:rPr lang="en-US"/>
            <a:t>your main points or arguments</a:t>
          </a:r>
        </a:p>
      </dgm:t>
    </dgm:pt>
    <dgm:pt modelId="{21C49A21-C79C-8F42-A694-DFACE8B62C23}" type="parTrans" cxnId="{1056AABC-8F02-4448-A2FD-4BF8EA8FFAF0}">
      <dgm:prSet/>
      <dgm:spPr/>
      <dgm:t>
        <a:bodyPr/>
        <a:lstStyle/>
        <a:p>
          <a:endParaRPr lang="en-US"/>
        </a:p>
      </dgm:t>
    </dgm:pt>
    <dgm:pt modelId="{EBF38F98-F46D-044C-AD95-5D65A730C364}" type="sibTrans" cxnId="{1056AABC-8F02-4448-A2FD-4BF8EA8FFAF0}">
      <dgm:prSet/>
      <dgm:spPr/>
      <dgm:t>
        <a:bodyPr/>
        <a:lstStyle/>
        <a:p>
          <a:endParaRPr lang="en-US"/>
        </a:p>
      </dgm:t>
    </dgm:pt>
    <dgm:pt modelId="{2A270F10-C4E3-7344-A333-F8D20786D67B}">
      <dgm:prSet phldrT="[Text]"/>
      <dgm:spPr/>
      <dgm:t>
        <a:bodyPr/>
        <a:lstStyle/>
        <a:p>
          <a:r>
            <a:rPr lang="en-US">
              <a:highlight>
                <a:srgbClr val="00FFFF"/>
              </a:highlight>
            </a:rPr>
            <a:t>Broaden</a:t>
          </a:r>
        </a:p>
      </dgm:t>
    </dgm:pt>
    <dgm:pt modelId="{A0F9B17A-4377-FB45-9AB5-C32A5ACC4A2D}" type="parTrans" cxnId="{C19D8F37-68CC-194C-87F8-B0ACA0CD39DD}">
      <dgm:prSet/>
      <dgm:spPr/>
      <dgm:t>
        <a:bodyPr/>
        <a:lstStyle/>
        <a:p>
          <a:endParaRPr lang="en-US"/>
        </a:p>
      </dgm:t>
    </dgm:pt>
    <dgm:pt modelId="{37F436BA-738C-5841-8B63-3C8CE93DA9BA}" type="sibTrans" cxnId="{C19D8F37-68CC-194C-87F8-B0ACA0CD39DD}">
      <dgm:prSet/>
      <dgm:spPr/>
      <dgm:t>
        <a:bodyPr/>
        <a:lstStyle/>
        <a:p>
          <a:endParaRPr lang="en-US"/>
        </a:p>
      </dgm:t>
    </dgm:pt>
    <dgm:pt modelId="{BE1237AF-BC75-5F43-9D16-C6AF43053080}">
      <dgm:prSet phldrT="[Text]"/>
      <dgm:spPr/>
      <dgm:t>
        <a:bodyPr/>
        <a:lstStyle/>
        <a:p>
          <a:r>
            <a:rPr lang="en-US"/>
            <a:t>Broaden – suggest the broader context of your thesis by:</a:t>
          </a:r>
        </a:p>
      </dgm:t>
    </dgm:pt>
    <dgm:pt modelId="{4F6A6ACF-D72C-3040-B5AE-902BF10BC479}" type="parTrans" cxnId="{4D8F7788-3763-B040-8FAA-325909A2F942}">
      <dgm:prSet/>
      <dgm:spPr/>
      <dgm:t>
        <a:bodyPr/>
        <a:lstStyle/>
        <a:p>
          <a:endParaRPr lang="en-US"/>
        </a:p>
      </dgm:t>
    </dgm:pt>
    <dgm:pt modelId="{251BB048-98AD-3B46-A5ED-A1CF6C7D31C2}" type="sibTrans" cxnId="{4D8F7788-3763-B040-8FAA-325909A2F942}">
      <dgm:prSet/>
      <dgm:spPr/>
      <dgm:t>
        <a:bodyPr/>
        <a:lstStyle/>
        <a:p>
          <a:endParaRPr lang="en-US"/>
        </a:p>
      </dgm:t>
    </dgm:pt>
    <dgm:pt modelId="{ABA601F3-D74A-894A-9E46-AE2BF711A1A5}">
      <dgm:prSet/>
      <dgm:spPr/>
      <dgm:t>
        <a:bodyPr/>
        <a:lstStyle/>
        <a:p>
          <a:r>
            <a:rPr lang="en-US"/>
            <a:t>Stressing the ramifications, outcome, or greater significance of our findings</a:t>
          </a:r>
          <a:endParaRPr lang="en-CA"/>
        </a:p>
      </dgm:t>
    </dgm:pt>
    <dgm:pt modelId="{08CBDF5B-1879-E64D-9AEC-AEEBE9D82F02}" type="parTrans" cxnId="{EF16BC7B-12F0-1C43-9A5F-8BF128F5FAEB}">
      <dgm:prSet/>
      <dgm:spPr/>
      <dgm:t>
        <a:bodyPr/>
        <a:lstStyle/>
        <a:p>
          <a:endParaRPr lang="en-US"/>
        </a:p>
      </dgm:t>
    </dgm:pt>
    <dgm:pt modelId="{A462FE86-2C00-AE45-A5DF-26A44910B5E5}" type="sibTrans" cxnId="{EF16BC7B-12F0-1C43-9A5F-8BF128F5FAEB}">
      <dgm:prSet/>
      <dgm:spPr/>
      <dgm:t>
        <a:bodyPr/>
        <a:lstStyle/>
        <a:p>
          <a:endParaRPr lang="en-US"/>
        </a:p>
      </dgm:t>
    </dgm:pt>
    <dgm:pt modelId="{73581754-528B-EE47-9F4F-3CE168AC09E5}">
      <dgm:prSet/>
      <dgm:spPr/>
      <dgm:t>
        <a:bodyPr/>
        <a:lstStyle/>
        <a:p>
          <a:r>
            <a:rPr lang="en-US"/>
            <a:t>Move the specific case that you have discussed to the general category to which it belongs</a:t>
          </a:r>
          <a:endParaRPr lang="en-CA"/>
        </a:p>
      </dgm:t>
    </dgm:pt>
    <dgm:pt modelId="{AECE0CD5-23A8-5440-AE84-0B2F7BB0B657}" type="parTrans" cxnId="{CCCDD0C7-42B0-2645-8D3F-49FE285A69DA}">
      <dgm:prSet/>
      <dgm:spPr/>
      <dgm:t>
        <a:bodyPr/>
        <a:lstStyle/>
        <a:p>
          <a:endParaRPr lang="en-US"/>
        </a:p>
      </dgm:t>
    </dgm:pt>
    <dgm:pt modelId="{9BAEFD2B-0D87-CC4E-9C3C-1FC7BBA840A7}" type="sibTrans" cxnId="{CCCDD0C7-42B0-2645-8D3F-49FE285A69DA}">
      <dgm:prSet/>
      <dgm:spPr/>
      <dgm:t>
        <a:bodyPr/>
        <a:lstStyle/>
        <a:p>
          <a:endParaRPr lang="en-US"/>
        </a:p>
      </dgm:t>
    </dgm:pt>
    <dgm:pt modelId="{85ECB357-7881-114E-B1AE-C0115BB85F9F}" type="pres">
      <dgm:prSet presAssocID="{8BF8351E-DA74-7B4E-A45B-C83544CC2C47}" presName="linearFlow" presStyleCnt="0">
        <dgm:presLayoutVars>
          <dgm:dir/>
          <dgm:animLvl val="lvl"/>
          <dgm:resizeHandles val="exact"/>
        </dgm:presLayoutVars>
      </dgm:prSet>
      <dgm:spPr/>
    </dgm:pt>
    <dgm:pt modelId="{4DC9CADD-11FB-E147-86EA-3D3E3BF8DCDD}" type="pres">
      <dgm:prSet presAssocID="{7B56ED29-8EE4-D946-B698-020466FF5EF3}" presName="composite" presStyleCnt="0"/>
      <dgm:spPr/>
    </dgm:pt>
    <dgm:pt modelId="{4495844E-4CF2-5D4F-A7D0-722CB0EA0864}" type="pres">
      <dgm:prSet presAssocID="{7B56ED29-8EE4-D946-B698-020466FF5EF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95402A1C-53DF-9E48-9E84-1EB65A842202}" type="pres">
      <dgm:prSet presAssocID="{7B56ED29-8EE4-D946-B698-020466FF5EF3}" presName="descendantText" presStyleLbl="alignAcc1" presStyleIdx="0" presStyleCnt="3">
        <dgm:presLayoutVars>
          <dgm:bulletEnabled val="1"/>
        </dgm:presLayoutVars>
      </dgm:prSet>
      <dgm:spPr/>
    </dgm:pt>
    <dgm:pt modelId="{A4A0FF6B-6344-D744-A68F-1E6B193FB6A5}" type="pres">
      <dgm:prSet presAssocID="{B5D457D2-6D32-CB4F-A68D-821F9418A32D}" presName="sp" presStyleCnt="0"/>
      <dgm:spPr/>
    </dgm:pt>
    <dgm:pt modelId="{6B8F16B2-1D4B-CB4F-974F-4538BFCE60C7}" type="pres">
      <dgm:prSet presAssocID="{BAECCC5C-4F24-5944-8854-D32AB269AEDF}" presName="composite" presStyleCnt="0"/>
      <dgm:spPr/>
    </dgm:pt>
    <dgm:pt modelId="{B6495E72-FA94-3544-B630-184BF15A53EC}" type="pres">
      <dgm:prSet presAssocID="{BAECCC5C-4F24-5944-8854-D32AB269AED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5B4BCBC-7646-B149-A243-CFBFF3746528}" type="pres">
      <dgm:prSet presAssocID="{BAECCC5C-4F24-5944-8854-D32AB269AEDF}" presName="descendantText" presStyleLbl="alignAcc1" presStyleIdx="1" presStyleCnt="3">
        <dgm:presLayoutVars>
          <dgm:bulletEnabled val="1"/>
        </dgm:presLayoutVars>
      </dgm:prSet>
      <dgm:spPr/>
    </dgm:pt>
    <dgm:pt modelId="{F353BB5D-5742-084D-8D22-3034B083F82E}" type="pres">
      <dgm:prSet presAssocID="{3D247073-343B-F447-95ED-122ADAA6B2E1}" presName="sp" presStyleCnt="0"/>
      <dgm:spPr/>
    </dgm:pt>
    <dgm:pt modelId="{B13180AE-CAE2-2944-852D-17E4A07ACB26}" type="pres">
      <dgm:prSet presAssocID="{2A270F10-C4E3-7344-A333-F8D20786D67B}" presName="composite" presStyleCnt="0"/>
      <dgm:spPr/>
    </dgm:pt>
    <dgm:pt modelId="{CEED654A-7DEC-4D4D-A3A7-6439A4079DD9}" type="pres">
      <dgm:prSet presAssocID="{2A270F10-C4E3-7344-A333-F8D20786D67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EC15F82-AB46-7E48-AB34-3765841A7B3C}" type="pres">
      <dgm:prSet presAssocID="{2A270F10-C4E3-7344-A333-F8D20786D67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724A531-6D56-7642-A7C4-95D8B32DC55E}" srcId="{8BF8351E-DA74-7B4E-A45B-C83544CC2C47}" destId="{BAECCC5C-4F24-5944-8854-D32AB269AEDF}" srcOrd="1" destOrd="0" parTransId="{526E02C3-75EF-3445-8CA6-75A4864E42E8}" sibTransId="{3D247073-343B-F447-95ED-122ADAA6B2E1}"/>
    <dgm:cxn modelId="{C19D8F37-68CC-194C-87F8-B0ACA0CD39DD}" srcId="{8BF8351E-DA74-7B4E-A45B-C83544CC2C47}" destId="{2A270F10-C4E3-7344-A333-F8D20786D67B}" srcOrd="2" destOrd="0" parTransId="{A0F9B17A-4377-FB45-9AB5-C32A5ACC4A2D}" sibTransId="{37F436BA-738C-5841-8B63-3C8CE93DA9BA}"/>
    <dgm:cxn modelId="{D99B2C60-CC9B-9849-B2E9-F1059902A19A}" type="presOf" srcId="{BE1237AF-BC75-5F43-9D16-C6AF43053080}" destId="{AEC15F82-AB46-7E48-AB34-3765841A7B3C}" srcOrd="0" destOrd="0" presId="urn:microsoft.com/office/officeart/2005/8/layout/chevron2"/>
    <dgm:cxn modelId="{6220EB43-CAFB-154C-91B2-A8A2A488C98E}" type="presOf" srcId="{73581754-528B-EE47-9F4F-3CE168AC09E5}" destId="{AEC15F82-AB46-7E48-AB34-3765841A7B3C}" srcOrd="0" destOrd="2" presId="urn:microsoft.com/office/officeart/2005/8/layout/chevron2"/>
    <dgm:cxn modelId="{39883A6E-5ECF-8348-9D8A-25500A6F5F46}" type="presOf" srcId="{BAECCC5C-4F24-5944-8854-D32AB269AEDF}" destId="{B6495E72-FA94-3544-B630-184BF15A53EC}" srcOrd="0" destOrd="0" presId="urn:microsoft.com/office/officeart/2005/8/layout/chevron2"/>
    <dgm:cxn modelId="{7DB03755-9F7D-1C42-9395-A77FD31A1317}" type="presOf" srcId="{7B56ED29-8EE4-D946-B698-020466FF5EF3}" destId="{4495844E-4CF2-5D4F-A7D0-722CB0EA0864}" srcOrd="0" destOrd="0" presId="urn:microsoft.com/office/officeart/2005/8/layout/chevron2"/>
    <dgm:cxn modelId="{EF16BC7B-12F0-1C43-9A5F-8BF128F5FAEB}" srcId="{2A270F10-C4E3-7344-A333-F8D20786D67B}" destId="{ABA601F3-D74A-894A-9E46-AE2BF711A1A5}" srcOrd="1" destOrd="0" parTransId="{08CBDF5B-1879-E64D-9AEC-AEEBE9D82F02}" sibTransId="{A462FE86-2C00-AE45-A5DF-26A44910B5E5}"/>
    <dgm:cxn modelId="{18B77881-0590-434F-A468-8EC20CFE0271}" type="presOf" srcId="{7A24E469-1214-8C4A-B58A-0EB1080D9CA2}" destId="{C5B4BCBC-7646-B149-A243-CFBFF3746528}" srcOrd="0" destOrd="0" presId="urn:microsoft.com/office/officeart/2005/8/layout/chevron2"/>
    <dgm:cxn modelId="{4D8F7788-3763-B040-8FAA-325909A2F942}" srcId="{2A270F10-C4E3-7344-A333-F8D20786D67B}" destId="{BE1237AF-BC75-5F43-9D16-C6AF43053080}" srcOrd="0" destOrd="0" parTransId="{4F6A6ACF-D72C-3040-B5AE-902BF10BC479}" sibTransId="{251BB048-98AD-3B46-A5ED-A1CF6C7D31C2}"/>
    <dgm:cxn modelId="{E07C948A-04A6-1E44-9A52-8B160EC28503}" type="presOf" srcId="{ABA601F3-D74A-894A-9E46-AE2BF711A1A5}" destId="{AEC15F82-AB46-7E48-AB34-3765841A7B3C}" srcOrd="0" destOrd="1" presId="urn:microsoft.com/office/officeart/2005/8/layout/chevron2"/>
    <dgm:cxn modelId="{6F4F5C8F-4E51-FB4A-AE47-0F412E6B9800}" type="presOf" srcId="{A42F660C-EC27-3A4F-829A-6CD21065B2D9}" destId="{95402A1C-53DF-9E48-9E84-1EB65A842202}" srcOrd="0" destOrd="0" presId="urn:microsoft.com/office/officeart/2005/8/layout/chevron2"/>
    <dgm:cxn modelId="{1B7C7DAE-383A-3E4C-AB6E-EC35E332122B}" srcId="{8BF8351E-DA74-7B4E-A45B-C83544CC2C47}" destId="{7B56ED29-8EE4-D946-B698-020466FF5EF3}" srcOrd="0" destOrd="0" parTransId="{6851EBFD-B78B-874A-9AB6-065F0C063ACC}" sibTransId="{B5D457D2-6D32-CB4F-A68D-821F9418A32D}"/>
    <dgm:cxn modelId="{1056AABC-8F02-4448-A2FD-4BF8EA8FFAF0}" srcId="{BAECCC5C-4F24-5944-8854-D32AB269AEDF}" destId="{7A24E469-1214-8C4A-B58A-0EB1080D9CA2}" srcOrd="0" destOrd="0" parTransId="{21C49A21-C79C-8F42-A694-DFACE8B62C23}" sibTransId="{EBF38F98-F46D-044C-AD95-5D65A730C364}"/>
    <dgm:cxn modelId="{C29053C7-6075-EA49-906F-0E961E3E5F09}" srcId="{7B56ED29-8EE4-D946-B698-020466FF5EF3}" destId="{A42F660C-EC27-3A4F-829A-6CD21065B2D9}" srcOrd="0" destOrd="0" parTransId="{FBBB8610-C656-6F48-BBBF-2A558511DC89}" sibTransId="{11D5ADA5-E040-B94A-8F91-16B13FDEFCB7}"/>
    <dgm:cxn modelId="{CCCDD0C7-42B0-2645-8D3F-49FE285A69DA}" srcId="{2A270F10-C4E3-7344-A333-F8D20786D67B}" destId="{73581754-528B-EE47-9F4F-3CE168AC09E5}" srcOrd="2" destOrd="0" parTransId="{AECE0CD5-23A8-5440-AE84-0B2F7BB0B657}" sibTransId="{9BAEFD2B-0D87-CC4E-9C3C-1FC7BBA840A7}"/>
    <dgm:cxn modelId="{CB17D2DC-CC95-A34B-B64F-9715B227BCFF}" type="presOf" srcId="{8BF8351E-DA74-7B4E-A45B-C83544CC2C47}" destId="{85ECB357-7881-114E-B1AE-C0115BB85F9F}" srcOrd="0" destOrd="0" presId="urn:microsoft.com/office/officeart/2005/8/layout/chevron2"/>
    <dgm:cxn modelId="{AF0F91DF-9FFC-1C42-9B58-25004F75D365}" type="presOf" srcId="{2A270F10-C4E3-7344-A333-F8D20786D67B}" destId="{CEED654A-7DEC-4D4D-A3A7-6439A4079DD9}" srcOrd="0" destOrd="0" presId="urn:microsoft.com/office/officeart/2005/8/layout/chevron2"/>
    <dgm:cxn modelId="{A22AB31A-772E-2F46-9CD7-E18DB254EC12}" type="presParOf" srcId="{85ECB357-7881-114E-B1AE-C0115BB85F9F}" destId="{4DC9CADD-11FB-E147-86EA-3D3E3BF8DCDD}" srcOrd="0" destOrd="0" presId="urn:microsoft.com/office/officeart/2005/8/layout/chevron2"/>
    <dgm:cxn modelId="{6702C96B-35CB-C041-A3F4-45A03DCA05C3}" type="presParOf" srcId="{4DC9CADD-11FB-E147-86EA-3D3E3BF8DCDD}" destId="{4495844E-4CF2-5D4F-A7D0-722CB0EA0864}" srcOrd="0" destOrd="0" presId="urn:microsoft.com/office/officeart/2005/8/layout/chevron2"/>
    <dgm:cxn modelId="{017AAD89-E432-AC48-B258-705936336FE4}" type="presParOf" srcId="{4DC9CADD-11FB-E147-86EA-3D3E3BF8DCDD}" destId="{95402A1C-53DF-9E48-9E84-1EB65A842202}" srcOrd="1" destOrd="0" presId="urn:microsoft.com/office/officeart/2005/8/layout/chevron2"/>
    <dgm:cxn modelId="{7ECB25AA-37E8-3449-9447-B8F8626F0280}" type="presParOf" srcId="{85ECB357-7881-114E-B1AE-C0115BB85F9F}" destId="{A4A0FF6B-6344-D744-A68F-1E6B193FB6A5}" srcOrd="1" destOrd="0" presId="urn:microsoft.com/office/officeart/2005/8/layout/chevron2"/>
    <dgm:cxn modelId="{EC1782F5-F623-844A-A50A-0556B1404F23}" type="presParOf" srcId="{85ECB357-7881-114E-B1AE-C0115BB85F9F}" destId="{6B8F16B2-1D4B-CB4F-974F-4538BFCE60C7}" srcOrd="2" destOrd="0" presId="urn:microsoft.com/office/officeart/2005/8/layout/chevron2"/>
    <dgm:cxn modelId="{34CEAF08-1393-FE47-923E-160B90DD86F2}" type="presParOf" srcId="{6B8F16B2-1D4B-CB4F-974F-4538BFCE60C7}" destId="{B6495E72-FA94-3544-B630-184BF15A53EC}" srcOrd="0" destOrd="0" presId="urn:microsoft.com/office/officeart/2005/8/layout/chevron2"/>
    <dgm:cxn modelId="{E0A2731C-1871-654B-9A78-4E5C1D0645F2}" type="presParOf" srcId="{6B8F16B2-1D4B-CB4F-974F-4538BFCE60C7}" destId="{C5B4BCBC-7646-B149-A243-CFBFF3746528}" srcOrd="1" destOrd="0" presId="urn:microsoft.com/office/officeart/2005/8/layout/chevron2"/>
    <dgm:cxn modelId="{AA23D971-6152-C746-9B12-9814AF3BF9C9}" type="presParOf" srcId="{85ECB357-7881-114E-B1AE-C0115BB85F9F}" destId="{F353BB5D-5742-084D-8D22-3034B083F82E}" srcOrd="3" destOrd="0" presId="urn:microsoft.com/office/officeart/2005/8/layout/chevron2"/>
    <dgm:cxn modelId="{B92B133F-D9B7-354D-9486-F2AEC3B731FF}" type="presParOf" srcId="{85ECB357-7881-114E-B1AE-C0115BB85F9F}" destId="{B13180AE-CAE2-2944-852D-17E4A07ACB26}" srcOrd="4" destOrd="0" presId="urn:microsoft.com/office/officeart/2005/8/layout/chevron2"/>
    <dgm:cxn modelId="{2BA6C067-CF63-C641-B48C-9E707336170A}" type="presParOf" srcId="{B13180AE-CAE2-2944-852D-17E4A07ACB26}" destId="{CEED654A-7DEC-4D4D-A3A7-6439A4079DD9}" srcOrd="0" destOrd="0" presId="urn:microsoft.com/office/officeart/2005/8/layout/chevron2"/>
    <dgm:cxn modelId="{8809569B-8804-D74C-BD79-F0D4E8D6D46B}" type="presParOf" srcId="{B13180AE-CAE2-2944-852D-17E4A07ACB26}" destId="{AEC15F82-AB46-7E48-AB34-3765841A7B3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95844E-4CF2-5D4F-A7D0-722CB0EA0864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i="0" kern="1200">
              <a:highlight>
                <a:srgbClr val="FFFF00"/>
              </a:highlight>
            </a:rPr>
            <a:t>Rephrase</a:t>
          </a:r>
        </a:p>
      </dsp:txBody>
      <dsp:txXfrm rot="-5400000">
        <a:off x="1" y="420908"/>
        <a:ext cx="840105" cy="360045"/>
      </dsp:txXfrm>
    </dsp:sp>
    <dsp:sp modelId="{95402A1C-53DF-9E48-9E84-1EB65A842202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and restate the thesis. Be sure not to repeat it exactly</a:t>
          </a:r>
        </a:p>
      </dsp:txBody>
      <dsp:txXfrm rot="-5400000">
        <a:off x="840105" y="38936"/>
        <a:ext cx="4608214" cy="703935"/>
      </dsp:txXfrm>
    </dsp:sp>
    <dsp:sp modelId="{B6495E72-FA94-3544-B630-184BF15A53EC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highlight>
                <a:srgbClr val="00FF00"/>
              </a:highlight>
            </a:rPr>
            <a:t>Summarisze</a:t>
          </a:r>
        </a:p>
      </dsp:txBody>
      <dsp:txXfrm rot="-5400000">
        <a:off x="1" y="1420178"/>
        <a:ext cx="840105" cy="360045"/>
      </dsp:txXfrm>
    </dsp:sp>
    <dsp:sp modelId="{C5B4BCBC-7646-B149-A243-CFBFF3746528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your main points or arguments</a:t>
          </a:r>
        </a:p>
      </dsp:txBody>
      <dsp:txXfrm rot="-5400000">
        <a:off x="840105" y="1038206"/>
        <a:ext cx="4608214" cy="703935"/>
      </dsp:txXfrm>
    </dsp:sp>
    <dsp:sp modelId="{CEED654A-7DEC-4D4D-A3A7-6439A4079DD9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highlight>
                <a:srgbClr val="00FFFF"/>
              </a:highlight>
            </a:rPr>
            <a:t>Broaden</a:t>
          </a:r>
        </a:p>
      </dsp:txBody>
      <dsp:txXfrm rot="-5400000">
        <a:off x="1" y="2419448"/>
        <a:ext cx="840105" cy="360045"/>
      </dsp:txXfrm>
    </dsp:sp>
    <dsp:sp modelId="{AEC15F82-AB46-7E48-AB34-3765841A7B3C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Broaden – suggest the broader context of your thesis by: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Stressing the ramifications, outcome, or greater significance of our findings</a:t>
          </a:r>
          <a:endParaRPr lang="en-CA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Move the specific case that you have discussed to the general category to which it belongs</a:t>
          </a:r>
          <a:endParaRPr lang="en-CA" sz="1100" kern="1200"/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5</cp:revision>
  <cp:lastPrinted>2019-06-03T13:02:00Z</cp:lastPrinted>
  <dcterms:created xsi:type="dcterms:W3CDTF">2020-06-01T19:37:00Z</dcterms:created>
  <dcterms:modified xsi:type="dcterms:W3CDTF">2021-01-20T14:20:00Z</dcterms:modified>
</cp:coreProperties>
</file>