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D4" w:rsidRPr="001B13AF" w:rsidRDefault="00180DD4" w:rsidP="00180DD4">
      <w:pPr>
        <w:jc w:val="center"/>
        <w:rPr>
          <w:rFonts w:ascii="Gill Sans MT" w:hAnsi="Gill Sans MT"/>
          <w:lang w:val="en-CA"/>
        </w:rPr>
      </w:pPr>
      <w:r w:rsidRPr="001B13AF">
        <w:rPr>
          <w:rFonts w:ascii="Gill Sans MT" w:hAnsi="Gill Sans MT"/>
          <w:lang w:val="en-CA"/>
        </w:rPr>
        <w:t xml:space="preserve"> Junior Numeracy</w:t>
      </w:r>
    </w:p>
    <w:p w:rsidR="00D3707E" w:rsidRPr="001B13AF" w:rsidRDefault="00180DD4" w:rsidP="00180DD4">
      <w:pPr>
        <w:jc w:val="center"/>
        <w:rPr>
          <w:rFonts w:ascii="Gill Sans MT" w:hAnsi="Gill Sans MT"/>
          <w:lang w:val="en-CA"/>
        </w:rPr>
      </w:pPr>
      <w:r w:rsidRPr="001B13AF">
        <w:rPr>
          <w:rFonts w:ascii="Gill Sans MT" w:hAnsi="Gill Sans MT"/>
          <w:lang w:val="en-CA"/>
        </w:rPr>
        <w:t>Professional Learning Plan</w:t>
      </w:r>
    </w:p>
    <w:p w:rsidR="00180DD4" w:rsidRDefault="00180DD4" w:rsidP="00180DD4">
      <w:pPr>
        <w:jc w:val="center"/>
        <w:rPr>
          <w:rFonts w:ascii="Gill Sans MT" w:hAnsi="Gill Sans MT"/>
          <w:lang w:val="en-CA"/>
        </w:rPr>
      </w:pPr>
      <w:r w:rsidRPr="001B13AF">
        <w:rPr>
          <w:rFonts w:ascii="Gill Sans MT" w:hAnsi="Gill Sans MT"/>
          <w:lang w:val="en-CA"/>
        </w:rPr>
        <w:t>Craig Beckett</w:t>
      </w:r>
    </w:p>
    <w:p w:rsidR="00A1798D" w:rsidRPr="001B13AF" w:rsidRDefault="00A1798D" w:rsidP="00180DD4">
      <w:pPr>
        <w:jc w:val="center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March 2011</w:t>
      </w:r>
    </w:p>
    <w:p w:rsidR="00180DD4" w:rsidRPr="001B13AF" w:rsidRDefault="00180DD4">
      <w:pPr>
        <w:rPr>
          <w:rFonts w:ascii="Gill Sans MT" w:hAnsi="Gill Sans MT"/>
          <w:lang w:val="en-CA"/>
        </w:rPr>
      </w:pPr>
    </w:p>
    <w:p w:rsidR="00180DD4" w:rsidRPr="00E707BA" w:rsidRDefault="00180DD4">
      <w:pPr>
        <w:rPr>
          <w:rFonts w:ascii="Gill Sans MT" w:hAnsi="Gill Sans MT"/>
          <w:u w:val="single"/>
          <w:lang w:val="en-CA"/>
        </w:rPr>
      </w:pPr>
      <w:r w:rsidRPr="00E707BA">
        <w:rPr>
          <w:rFonts w:ascii="Gill Sans MT" w:hAnsi="Gill Sans MT"/>
          <w:u w:val="single"/>
          <w:lang w:val="en-CA"/>
        </w:rPr>
        <w:t>Approach and Rationale</w:t>
      </w:r>
    </w:p>
    <w:p w:rsidR="00180DD4" w:rsidRPr="001B13AF" w:rsidRDefault="00180DD4">
      <w:pPr>
        <w:rPr>
          <w:rFonts w:ascii="Gill Sans MT" w:hAnsi="Gill Sans MT"/>
          <w:lang w:val="en-CA"/>
        </w:rPr>
      </w:pPr>
    </w:p>
    <w:p w:rsidR="00180DD4" w:rsidRDefault="00180DD4">
      <w:pPr>
        <w:rPr>
          <w:rFonts w:ascii="Gill Sans MT" w:hAnsi="Gill Sans MT"/>
          <w:lang w:val="en-CA"/>
        </w:rPr>
      </w:pPr>
      <w:r w:rsidRPr="001B13AF">
        <w:rPr>
          <w:rFonts w:ascii="Gill Sans MT" w:hAnsi="Gill Sans MT"/>
          <w:lang w:val="en-CA"/>
        </w:rPr>
        <w:t>I have found that the best way to get teachers to buy in to a different way of doing things is to allow them ti</w:t>
      </w:r>
      <w:r w:rsidR="00B64CAA" w:rsidRPr="001B13AF">
        <w:rPr>
          <w:rFonts w:ascii="Gill Sans MT" w:hAnsi="Gill Sans MT"/>
          <w:lang w:val="en-CA"/>
        </w:rPr>
        <w:t xml:space="preserve">me and support to make changes. I would approach this </w:t>
      </w:r>
      <w:r w:rsidR="00A1798D">
        <w:rPr>
          <w:rFonts w:ascii="Gill Sans MT" w:hAnsi="Gill Sans MT"/>
          <w:lang w:val="en-CA"/>
        </w:rPr>
        <w:t xml:space="preserve">workshop </w:t>
      </w:r>
      <w:r w:rsidR="00B64CAA" w:rsidRPr="001B13AF">
        <w:rPr>
          <w:rFonts w:ascii="Gill Sans MT" w:hAnsi="Gill Sans MT"/>
          <w:lang w:val="en-CA"/>
        </w:rPr>
        <w:t xml:space="preserve">in a series of meetings and discussions in a </w:t>
      </w:r>
      <w:r w:rsidR="001B13AF">
        <w:rPr>
          <w:rFonts w:ascii="Gill Sans MT" w:hAnsi="Gill Sans MT"/>
          <w:lang w:val="en-CA"/>
        </w:rPr>
        <w:t>relaxed fashion. I would try to recruit willing</w:t>
      </w:r>
      <w:r w:rsidR="00A1798D">
        <w:rPr>
          <w:rFonts w:ascii="Gill Sans MT" w:hAnsi="Gill Sans MT"/>
          <w:lang w:val="en-CA"/>
        </w:rPr>
        <w:t xml:space="preserve"> participants and persuade a few sceptics.  The plan would be to have three sessions</w:t>
      </w:r>
      <w:r w:rsidR="008E5A6A">
        <w:rPr>
          <w:rFonts w:ascii="Gill Sans MT" w:hAnsi="Gill Sans MT"/>
          <w:lang w:val="en-CA"/>
        </w:rPr>
        <w:t xml:space="preserve"> with</w:t>
      </w:r>
      <w:r w:rsidR="00A1798D">
        <w:rPr>
          <w:rFonts w:ascii="Gill Sans MT" w:hAnsi="Gill Sans MT"/>
          <w:lang w:val="en-CA"/>
        </w:rPr>
        <w:t xml:space="preserve"> each </w:t>
      </w:r>
      <w:r w:rsidR="00855926">
        <w:rPr>
          <w:rFonts w:ascii="Gill Sans MT" w:hAnsi="Gill Sans MT"/>
          <w:lang w:val="en-CA"/>
        </w:rPr>
        <w:t>session</w:t>
      </w:r>
      <w:r w:rsidR="00A1798D">
        <w:rPr>
          <w:rFonts w:ascii="Gill Sans MT" w:hAnsi="Gill Sans MT"/>
          <w:lang w:val="en-CA"/>
        </w:rPr>
        <w:t xml:space="preserve"> consisting of some content, a product, an</w:t>
      </w:r>
      <w:r w:rsidR="008E5A6A">
        <w:rPr>
          <w:rFonts w:ascii="Gill Sans MT" w:hAnsi="Gill Sans MT"/>
          <w:lang w:val="en-CA"/>
        </w:rPr>
        <w:t>d a reading for the next meeting</w:t>
      </w:r>
      <w:r w:rsidR="00A1798D">
        <w:rPr>
          <w:rFonts w:ascii="Gill Sans MT" w:hAnsi="Gill Sans MT"/>
          <w:lang w:val="en-CA"/>
        </w:rPr>
        <w:t>.</w:t>
      </w:r>
    </w:p>
    <w:p w:rsidR="001B13AF" w:rsidRDefault="001B13AF">
      <w:pPr>
        <w:rPr>
          <w:rFonts w:ascii="Gill Sans MT" w:hAnsi="Gill Sans MT"/>
          <w:lang w:val="en-CA"/>
        </w:rPr>
      </w:pPr>
    </w:p>
    <w:p w:rsidR="001B13AF" w:rsidRDefault="008E5A6A">
      <w:pPr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The</w:t>
      </w:r>
      <w:r w:rsidR="001B13AF">
        <w:rPr>
          <w:rFonts w:ascii="Gill Sans MT" w:hAnsi="Gill Sans MT"/>
          <w:lang w:val="en-CA"/>
        </w:rPr>
        <w:t xml:space="preserve"> series of </w:t>
      </w:r>
      <w:r w:rsidR="0099217F">
        <w:rPr>
          <w:rFonts w:ascii="Gill Sans MT" w:hAnsi="Gill Sans MT"/>
          <w:lang w:val="en-CA"/>
        </w:rPr>
        <w:t xml:space="preserve">sessions will start </w:t>
      </w:r>
      <w:r>
        <w:rPr>
          <w:rFonts w:ascii="Gill Sans MT" w:hAnsi="Gill Sans MT"/>
          <w:lang w:val="en-CA"/>
        </w:rPr>
        <w:t>with connecting the notion of Big Ideas</w:t>
      </w:r>
      <w:r w:rsidR="001B13AF">
        <w:rPr>
          <w:rFonts w:ascii="Gill Sans MT" w:hAnsi="Gill Sans MT"/>
          <w:lang w:val="en-CA"/>
        </w:rPr>
        <w:t xml:space="preserve"> to some of the popular experts like Karen Hume and Wiggins and McTighe</w:t>
      </w:r>
      <w:r>
        <w:rPr>
          <w:rFonts w:ascii="Gill Sans MT" w:hAnsi="Gill Sans MT"/>
          <w:lang w:val="en-CA"/>
        </w:rPr>
        <w:t xml:space="preserve">. The teachers would be able to see both the ministry documents that call for </w:t>
      </w:r>
      <w:r w:rsidR="00177E29">
        <w:rPr>
          <w:rFonts w:ascii="Gill Sans MT" w:hAnsi="Gill Sans MT"/>
          <w:lang w:val="en-CA"/>
        </w:rPr>
        <w:t xml:space="preserve">Big Ideas </w:t>
      </w:r>
      <w:r w:rsidR="0099217F">
        <w:rPr>
          <w:rFonts w:ascii="Gill Sans MT" w:hAnsi="Gill Sans MT"/>
          <w:lang w:val="en-CA"/>
        </w:rPr>
        <w:t xml:space="preserve">and the outside researcher experts that also espouse this position. </w:t>
      </w:r>
    </w:p>
    <w:p w:rsidR="0099217F" w:rsidRDefault="0099217F">
      <w:pPr>
        <w:rPr>
          <w:rFonts w:ascii="Gill Sans MT" w:hAnsi="Gill Sans MT"/>
          <w:lang w:val="en-CA"/>
        </w:rPr>
      </w:pPr>
    </w:p>
    <w:p w:rsidR="0099217F" w:rsidRDefault="0099217F">
      <w:pPr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The second session is intended for the teachers involve</w:t>
      </w:r>
      <w:r w:rsidR="00085C01">
        <w:rPr>
          <w:rFonts w:ascii="Gill Sans MT" w:hAnsi="Gill Sans MT"/>
          <w:lang w:val="en-CA"/>
        </w:rPr>
        <w:t>d</w:t>
      </w:r>
      <w:r>
        <w:rPr>
          <w:rFonts w:ascii="Gill Sans MT" w:hAnsi="Gill Sans MT"/>
          <w:lang w:val="en-CA"/>
        </w:rPr>
        <w:t xml:space="preserve"> to reflect on the principles of effective math</w:t>
      </w:r>
      <w:r w:rsidR="00085C01">
        <w:rPr>
          <w:rFonts w:ascii="Gill Sans MT" w:hAnsi="Gill Sans MT"/>
          <w:lang w:val="en-CA"/>
        </w:rPr>
        <w:t xml:space="preserve"> instruction and to plan a strategy for reculturing the school community in its approaches to mathematics. This would </w:t>
      </w:r>
    </w:p>
    <w:p w:rsidR="00085C01" w:rsidRDefault="00085C01">
      <w:pPr>
        <w:rPr>
          <w:rFonts w:ascii="Gill Sans MT" w:hAnsi="Gill Sans MT"/>
          <w:lang w:val="en-CA"/>
        </w:rPr>
      </w:pPr>
    </w:p>
    <w:p w:rsidR="00625D70" w:rsidRPr="00625D70" w:rsidRDefault="00085C01" w:rsidP="00625D70">
      <w:pPr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 xml:space="preserve">The third session is intended to plan for effective instruction in the area of fractions. Teachers will reflect on </w:t>
      </w:r>
      <w:r w:rsidR="00625D70">
        <w:rPr>
          <w:rFonts w:ascii="Gill Sans MT" w:hAnsi="Gill Sans MT"/>
          <w:lang w:val="en-CA"/>
        </w:rPr>
        <w:t>the document “</w:t>
      </w:r>
      <w:r w:rsidR="00625D70">
        <w:rPr>
          <w:rFonts w:ascii="Gill Sans MT" w:hAnsi="Gill Sans MT"/>
        </w:rPr>
        <w:t xml:space="preserve">Fractions” </w:t>
      </w:r>
      <w:r w:rsidR="00625D70" w:rsidRPr="0010659A">
        <w:rPr>
          <w:rFonts w:ascii="Gill Sans MT" w:hAnsi="Gill Sans MT"/>
          <w:i/>
          <w:lang w:val="en-CA"/>
        </w:rPr>
        <w:t>A</w:t>
      </w:r>
      <w:r w:rsidR="00625D70">
        <w:rPr>
          <w:rFonts w:ascii="Gill Sans MT" w:hAnsi="Gill Sans MT"/>
          <w:i/>
          <w:lang w:val="en-CA"/>
        </w:rPr>
        <w:t xml:space="preserve"> Guide To Effective Instruction in Mathematics, Kindergarten to grade 6—volume five </w:t>
      </w:r>
      <w:r w:rsidR="00975EAF">
        <w:rPr>
          <w:rFonts w:ascii="Gill Sans MT" w:hAnsi="Gill Sans MT"/>
          <w:lang w:val="en-CA"/>
        </w:rPr>
        <w:t>looking for useful, interesting, and thought provoking items in the guide. The teachers will eventually co-plan, co-teach, and co-assess a lesson with actual students in order to examine the principles of effective math instruction in “real time.”</w:t>
      </w:r>
    </w:p>
    <w:p w:rsidR="00085C01" w:rsidRPr="001B13AF" w:rsidRDefault="00085C01">
      <w:pPr>
        <w:rPr>
          <w:rFonts w:ascii="Gill Sans MT" w:hAnsi="Gill Sans MT"/>
          <w:lang w:val="en-CA"/>
        </w:rPr>
      </w:pPr>
    </w:p>
    <w:p w:rsidR="00180DD4" w:rsidRPr="001B13AF" w:rsidRDefault="00180DD4">
      <w:pPr>
        <w:rPr>
          <w:rFonts w:ascii="Gill Sans MT" w:hAnsi="Gill Sans MT"/>
          <w:lang w:val="en-CA"/>
        </w:rPr>
      </w:pPr>
    </w:p>
    <w:p w:rsidR="00E82D8A" w:rsidRDefault="00E82D8A">
      <w:pPr>
        <w:spacing w:after="200" w:line="276" w:lineRule="auto"/>
        <w:rPr>
          <w:rFonts w:ascii="Gill Sans MT" w:hAnsi="Gill Sans MT"/>
          <w:u w:val="single"/>
          <w:lang w:val="en-CA"/>
        </w:rPr>
      </w:pPr>
      <w:r>
        <w:rPr>
          <w:rFonts w:ascii="Gill Sans MT" w:hAnsi="Gill Sans MT"/>
          <w:u w:val="single"/>
          <w:lang w:val="en-CA"/>
        </w:rPr>
        <w:br w:type="page"/>
      </w:r>
    </w:p>
    <w:p w:rsidR="00180DD4" w:rsidRPr="00E707BA" w:rsidRDefault="00180DD4">
      <w:pPr>
        <w:rPr>
          <w:rFonts w:ascii="Gill Sans MT" w:hAnsi="Gill Sans MT"/>
          <w:u w:val="single"/>
          <w:lang w:val="en-CA"/>
        </w:rPr>
      </w:pPr>
      <w:r w:rsidRPr="00E707BA">
        <w:rPr>
          <w:rFonts w:ascii="Gill Sans MT" w:hAnsi="Gill Sans MT"/>
          <w:u w:val="single"/>
          <w:lang w:val="en-CA"/>
        </w:rPr>
        <w:lastRenderedPageBreak/>
        <w:t>Session One: Big Ideas</w:t>
      </w:r>
    </w:p>
    <w:p w:rsidR="00E707BA" w:rsidRDefault="00E707BA">
      <w:pPr>
        <w:rPr>
          <w:rFonts w:ascii="Gill Sans MT" w:hAnsi="Gill Sans MT"/>
          <w:lang w:val="en-CA"/>
        </w:rPr>
      </w:pPr>
    </w:p>
    <w:p w:rsidR="00E707BA" w:rsidRDefault="00E707BA">
      <w:pPr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 xml:space="preserve">Big Idea: Essential Understandings, Enduring Understandings, Big Ideas as a part of purposeful backwards designed </w:t>
      </w:r>
      <w:r w:rsidR="00422309">
        <w:rPr>
          <w:rFonts w:ascii="Gill Sans MT" w:hAnsi="Gill Sans MT"/>
          <w:lang w:val="en-CA"/>
        </w:rPr>
        <w:t xml:space="preserve">lessons are a key piece of effective math instruction. </w:t>
      </w:r>
    </w:p>
    <w:p w:rsidR="001B13AF" w:rsidRDefault="001B13AF">
      <w:pPr>
        <w:rPr>
          <w:rFonts w:ascii="Gill Sans MT" w:hAnsi="Gill Sans MT"/>
          <w:lang w:val="en-CA"/>
        </w:rPr>
      </w:pPr>
    </w:p>
    <w:p w:rsidR="00422309" w:rsidRDefault="00422309">
      <w:pPr>
        <w:rPr>
          <w:rFonts w:ascii="Gill Sans MT" w:hAnsi="Gill Sans MT"/>
          <w:lang w:val="en-CA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316"/>
        <w:gridCol w:w="2316"/>
        <w:gridCol w:w="2316"/>
        <w:gridCol w:w="5508"/>
      </w:tblGrid>
      <w:tr w:rsidR="00422309" w:rsidTr="00D5662C">
        <w:tc>
          <w:tcPr>
            <w:tcW w:w="2316" w:type="dxa"/>
          </w:tcPr>
          <w:p w:rsidR="00422309" w:rsidRDefault="00422309" w:rsidP="001B13AF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Topic</w:t>
            </w:r>
          </w:p>
        </w:tc>
        <w:tc>
          <w:tcPr>
            <w:tcW w:w="2316" w:type="dxa"/>
          </w:tcPr>
          <w:p w:rsidR="00422309" w:rsidRDefault="00422309" w:rsidP="001B13AF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Questions</w:t>
            </w:r>
          </w:p>
        </w:tc>
        <w:tc>
          <w:tcPr>
            <w:tcW w:w="2316" w:type="dxa"/>
          </w:tcPr>
          <w:p w:rsidR="00422309" w:rsidRDefault="00422309" w:rsidP="00C312C8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References and Resources</w:t>
            </w:r>
          </w:p>
        </w:tc>
        <w:tc>
          <w:tcPr>
            <w:tcW w:w="5508" w:type="dxa"/>
          </w:tcPr>
          <w:p w:rsidR="00422309" w:rsidRDefault="00E82D8A" w:rsidP="001B13AF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Notes and Reflection</w:t>
            </w:r>
          </w:p>
        </w:tc>
      </w:tr>
      <w:tr w:rsidR="00422309" w:rsidTr="00D5662C">
        <w:tc>
          <w:tcPr>
            <w:tcW w:w="2316" w:type="dxa"/>
          </w:tcPr>
          <w:p w:rsidR="00422309" w:rsidRDefault="00422309" w:rsidP="001B13A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What are</w:t>
            </w:r>
            <w:r w:rsidRPr="001B13AF">
              <w:rPr>
                <w:rFonts w:ascii="Gill Sans MT" w:hAnsi="Gill Sans MT"/>
                <w:lang w:val="en-CA"/>
              </w:rPr>
              <w:t xml:space="preserve"> Big Ideas</w:t>
            </w:r>
            <w:r>
              <w:rPr>
                <w:rFonts w:ascii="Gill Sans MT" w:hAnsi="Gill Sans MT"/>
                <w:lang w:val="en-CA"/>
              </w:rPr>
              <w:t>?</w:t>
            </w:r>
          </w:p>
          <w:p w:rsidR="00422309" w:rsidRDefault="00422309" w:rsidP="00D5662C">
            <w:pPr>
              <w:pStyle w:val="ListParagraph"/>
              <w:ind w:left="810"/>
              <w:rPr>
                <w:rFonts w:ascii="Gill Sans MT" w:hAnsi="Gill Sans MT"/>
                <w:lang w:val="en-CA"/>
              </w:rPr>
            </w:pPr>
          </w:p>
        </w:tc>
        <w:tc>
          <w:tcPr>
            <w:tcW w:w="2316" w:type="dxa"/>
          </w:tcPr>
          <w:p w:rsidR="00422309" w:rsidRDefault="00E82D8A" w:rsidP="001B13A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How are Big Ideas supported by research?</w:t>
            </w:r>
          </w:p>
        </w:tc>
        <w:tc>
          <w:tcPr>
            <w:tcW w:w="2316" w:type="dxa"/>
          </w:tcPr>
          <w:p w:rsidR="00422309" w:rsidRDefault="00422309" w:rsidP="00C312C8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Wiggins and McTighe</w:t>
            </w:r>
          </w:p>
          <w:p w:rsidR="00422309" w:rsidRDefault="00422309" w:rsidP="00C312C8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Hume</w:t>
            </w:r>
          </w:p>
          <w:p w:rsidR="00D5662C" w:rsidRDefault="00D5662C" w:rsidP="00C312C8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Evaluating our expectations document</w:t>
            </w:r>
          </w:p>
        </w:tc>
        <w:tc>
          <w:tcPr>
            <w:tcW w:w="5508" w:type="dxa"/>
          </w:tcPr>
          <w:p w:rsidR="00422309" w:rsidRDefault="00422309" w:rsidP="00286F89">
            <w:pPr>
              <w:pStyle w:val="ListParagraph"/>
              <w:ind w:left="450"/>
              <w:rPr>
                <w:rFonts w:ascii="Gill Sans MT" w:hAnsi="Gill Sans MT"/>
                <w:lang w:val="en-CA"/>
              </w:rPr>
            </w:pPr>
          </w:p>
        </w:tc>
      </w:tr>
      <w:tr w:rsidR="00422309" w:rsidRPr="001B13AF" w:rsidTr="00D5662C">
        <w:tc>
          <w:tcPr>
            <w:tcW w:w="2316" w:type="dxa"/>
          </w:tcPr>
          <w:p w:rsidR="00422309" w:rsidRPr="001B13AF" w:rsidRDefault="00422309" w:rsidP="001B13A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 w:rsidRPr="001B13AF">
              <w:rPr>
                <w:rFonts w:ascii="Gill Sans MT" w:hAnsi="Gill Sans MT"/>
                <w:lang w:val="en-CA"/>
              </w:rPr>
              <w:t>eworkshop</w:t>
            </w:r>
          </w:p>
        </w:tc>
        <w:tc>
          <w:tcPr>
            <w:tcW w:w="2316" w:type="dxa"/>
          </w:tcPr>
          <w:p w:rsidR="00422309" w:rsidRDefault="00D5662C" w:rsidP="001B13A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 xml:space="preserve">How could I use eworkshop </w:t>
            </w:r>
          </w:p>
        </w:tc>
        <w:tc>
          <w:tcPr>
            <w:tcW w:w="2316" w:type="dxa"/>
          </w:tcPr>
          <w:p w:rsidR="00422309" w:rsidRDefault="00D5662C" w:rsidP="00C312C8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 w:rsidRPr="00D5662C">
              <w:rPr>
                <w:rFonts w:ascii="Gill Sans MT" w:hAnsi="Gill Sans MT"/>
                <w:lang w:val="en-CA"/>
              </w:rPr>
              <w:t>http://www.eworkshop.on.ca/edu/core.cfm</w:t>
            </w:r>
          </w:p>
        </w:tc>
        <w:tc>
          <w:tcPr>
            <w:tcW w:w="5508" w:type="dxa"/>
          </w:tcPr>
          <w:p w:rsidR="00422309" w:rsidRDefault="00422309" w:rsidP="00422309">
            <w:pPr>
              <w:pStyle w:val="ListParagraph"/>
              <w:ind w:left="450"/>
              <w:rPr>
                <w:rFonts w:ascii="Gill Sans MT" w:hAnsi="Gill Sans MT"/>
                <w:lang w:val="en-CA"/>
              </w:rPr>
            </w:pPr>
          </w:p>
        </w:tc>
      </w:tr>
      <w:tr w:rsidR="00422309" w:rsidRPr="001B13AF" w:rsidTr="00D5662C">
        <w:tc>
          <w:tcPr>
            <w:tcW w:w="2316" w:type="dxa"/>
          </w:tcPr>
          <w:p w:rsidR="00422309" w:rsidRPr="00AA7D0E" w:rsidRDefault="00422309" w:rsidP="00AA7D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</w:rPr>
            </w:pPr>
            <w:r w:rsidRPr="001B13AF">
              <w:rPr>
                <w:rFonts w:ascii="Gill Sans MT" w:hAnsi="Gill Sans MT"/>
                <w:lang w:val="en-CA"/>
              </w:rPr>
              <w:t>Document: Number Sense and Numeration, Grades 4 to 6 Volume 1 The Big Ideas</w:t>
            </w:r>
          </w:p>
          <w:p w:rsidR="00422309" w:rsidRDefault="00422309" w:rsidP="00E82D8A">
            <w:pPr>
              <w:pStyle w:val="ListParagraph"/>
              <w:ind w:left="450"/>
              <w:rPr>
                <w:rFonts w:ascii="Gill Sans MT" w:hAnsi="Gill Sans MT"/>
                <w:lang w:val="en-CA"/>
              </w:rPr>
            </w:pPr>
          </w:p>
        </w:tc>
        <w:tc>
          <w:tcPr>
            <w:tcW w:w="2316" w:type="dxa"/>
          </w:tcPr>
          <w:p w:rsidR="00E82D8A" w:rsidRPr="00E82D8A" w:rsidRDefault="00E82D8A" w:rsidP="00E82D8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What Big Idea is most important</w:t>
            </w:r>
          </w:p>
          <w:p w:rsidR="00E82D8A" w:rsidRPr="00E82D8A" w:rsidRDefault="00E82D8A" w:rsidP="00E82D8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 w:rsidRPr="00E82D8A">
              <w:rPr>
                <w:rFonts w:ascii="Gill Sans MT" w:hAnsi="Gill Sans MT"/>
                <w:lang w:val="en-CA"/>
              </w:rPr>
              <w:t>What Big Idea causes the greatest misconception in our learners</w:t>
            </w:r>
          </w:p>
          <w:p w:rsidR="00E82D8A" w:rsidRPr="00E82D8A" w:rsidRDefault="00E82D8A" w:rsidP="00E82D8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 w:rsidRPr="00E82D8A">
              <w:rPr>
                <w:rFonts w:ascii="Gill Sans MT" w:hAnsi="Gill Sans MT"/>
                <w:lang w:val="en-CA"/>
              </w:rPr>
              <w:t>Where do theses Big Ideas fit in our curriculum?</w:t>
            </w:r>
          </w:p>
          <w:p w:rsidR="00422309" w:rsidRDefault="00E82D8A" w:rsidP="00E82D8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 w:rsidRPr="00E82D8A">
              <w:rPr>
                <w:rFonts w:ascii="Gill Sans MT" w:hAnsi="Gill Sans MT"/>
                <w:lang w:val="en-CA"/>
              </w:rPr>
              <w:t>Can we translate these Big I</w:t>
            </w:r>
            <w:r>
              <w:rPr>
                <w:rFonts w:ascii="Gill Sans MT" w:hAnsi="Gill Sans MT"/>
                <w:lang w:val="en-CA"/>
              </w:rPr>
              <w:t>deas into kid friendly language</w:t>
            </w:r>
            <w:r w:rsidRPr="00E82D8A">
              <w:rPr>
                <w:rFonts w:ascii="Gill Sans MT" w:hAnsi="Gill Sans MT"/>
                <w:lang w:val="en-CA"/>
              </w:rPr>
              <w:t>?</w:t>
            </w:r>
          </w:p>
        </w:tc>
        <w:tc>
          <w:tcPr>
            <w:tcW w:w="2316" w:type="dxa"/>
          </w:tcPr>
          <w:p w:rsidR="00422309" w:rsidRDefault="00286F89" w:rsidP="00C312C8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 w:rsidRPr="00286F89">
              <w:rPr>
                <w:rFonts w:ascii="Gill Sans MT" w:hAnsi="Gill Sans MT"/>
                <w:lang w:val="en-CA"/>
              </w:rPr>
              <w:t>http://www.eworkshop.on.ca/edu/resources/guides/NSN_vol_1_Big_Ideas.pdf</w:t>
            </w:r>
          </w:p>
        </w:tc>
        <w:tc>
          <w:tcPr>
            <w:tcW w:w="5508" w:type="dxa"/>
          </w:tcPr>
          <w:p w:rsidR="00422309" w:rsidRDefault="00422309" w:rsidP="00422309">
            <w:pPr>
              <w:pStyle w:val="ListParagraph"/>
              <w:ind w:left="450"/>
              <w:rPr>
                <w:rFonts w:ascii="Gill Sans MT" w:hAnsi="Gill Sans MT"/>
                <w:lang w:val="en-CA"/>
              </w:rPr>
            </w:pPr>
          </w:p>
        </w:tc>
      </w:tr>
    </w:tbl>
    <w:p w:rsidR="00E707BA" w:rsidRDefault="00E707BA">
      <w:pPr>
        <w:rPr>
          <w:rFonts w:ascii="Gill Sans MT" w:hAnsi="Gill Sans MT"/>
          <w:lang w:val="en-CA"/>
        </w:rPr>
      </w:pPr>
    </w:p>
    <w:p w:rsidR="00286F89" w:rsidRDefault="00286F89" w:rsidP="00286F89">
      <w:pPr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Product: Evaluate the overall expectations. Which in your mind is “worth being familiar with</w:t>
      </w:r>
      <w:r w:rsidR="00A1798D">
        <w:rPr>
          <w:rFonts w:ascii="Gill Sans MT" w:hAnsi="Gill Sans MT"/>
          <w:lang w:val="en-CA"/>
        </w:rPr>
        <w:t>” which</w:t>
      </w:r>
      <w:r>
        <w:rPr>
          <w:rFonts w:ascii="Gill Sans MT" w:hAnsi="Gill Sans MT"/>
          <w:lang w:val="en-CA"/>
        </w:rPr>
        <w:t xml:space="preserve"> is “important to know and do” and which are “enduring understandings”</w:t>
      </w:r>
    </w:p>
    <w:p w:rsidR="00286F89" w:rsidRDefault="00286F89" w:rsidP="00286F89">
      <w:pPr>
        <w:rPr>
          <w:rFonts w:ascii="Gill Sans MT" w:hAnsi="Gill Sans MT"/>
          <w:lang w:val="en-CA"/>
        </w:rPr>
      </w:pPr>
    </w:p>
    <w:p w:rsidR="00286F89" w:rsidRPr="00286F89" w:rsidRDefault="00286F89" w:rsidP="00286F89">
      <w:pPr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 xml:space="preserve">Next Step: Read Principals Underlying Effective Math Instruction in </w:t>
      </w:r>
      <w:r>
        <w:rPr>
          <w:rFonts w:ascii="Gill Sans MT" w:hAnsi="Gill Sans MT"/>
          <w:i/>
          <w:lang w:val="en-CA"/>
        </w:rPr>
        <w:t xml:space="preserve">A Guide To Effective Instruction in Mathematics, Kindergarten to grade 6—volume one </w:t>
      </w:r>
      <w:r>
        <w:rPr>
          <w:rFonts w:ascii="Gill Sans MT" w:hAnsi="Gill Sans MT"/>
          <w:lang w:val="en-CA"/>
        </w:rPr>
        <w:t>pp23-43</w:t>
      </w:r>
    </w:p>
    <w:p w:rsidR="00D5662C" w:rsidRDefault="00D5662C">
      <w:pPr>
        <w:spacing w:after="200" w:line="276" w:lineRule="auto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br w:type="page"/>
      </w:r>
    </w:p>
    <w:p w:rsidR="00D5662C" w:rsidRDefault="00D5662C">
      <w:pPr>
        <w:spacing w:after="200" w:line="276" w:lineRule="auto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lastRenderedPageBreak/>
        <w:t>Evaluating the expectations</w:t>
      </w:r>
    </w:p>
    <w:tbl>
      <w:tblPr>
        <w:tblStyle w:val="TableGrid"/>
        <w:tblW w:w="13583" w:type="dxa"/>
        <w:tblLook w:val="04A0"/>
      </w:tblPr>
      <w:tblGrid>
        <w:gridCol w:w="1874"/>
        <w:gridCol w:w="3903"/>
        <w:gridCol w:w="3903"/>
        <w:gridCol w:w="3903"/>
      </w:tblGrid>
      <w:tr w:rsidR="00D5662C" w:rsidTr="003E0373">
        <w:trPr>
          <w:trHeight w:val="620"/>
        </w:trPr>
        <w:tc>
          <w:tcPr>
            <w:tcW w:w="1874" w:type="dxa"/>
          </w:tcPr>
          <w:p w:rsidR="00D5662C" w:rsidRPr="00F663BC" w:rsidRDefault="00D5662C" w:rsidP="003E0373">
            <w:pPr>
              <w:tabs>
                <w:tab w:val="left" w:pos="7830"/>
              </w:tabs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F663BC">
              <w:rPr>
                <w:rFonts w:eastAsia="Times New Roman" w:cs="Courier New"/>
                <w:b/>
                <w:sz w:val="24"/>
                <w:szCs w:val="24"/>
              </w:rPr>
              <w:t>Strand</w:t>
            </w:r>
          </w:p>
        </w:tc>
        <w:tc>
          <w:tcPr>
            <w:tcW w:w="3903" w:type="dxa"/>
          </w:tcPr>
          <w:p w:rsidR="00D5662C" w:rsidRPr="00F663BC" w:rsidRDefault="00D5662C" w:rsidP="003E0373">
            <w:pPr>
              <w:tabs>
                <w:tab w:val="left" w:pos="7830"/>
              </w:tabs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F663BC">
              <w:rPr>
                <w:rFonts w:eastAsia="Times New Roman" w:cs="Courier New"/>
                <w:b/>
                <w:sz w:val="24"/>
                <w:szCs w:val="24"/>
              </w:rPr>
              <w:t>Worth being familiar with:</w:t>
            </w:r>
          </w:p>
          <w:p w:rsidR="00D5662C" w:rsidRPr="00F663BC" w:rsidRDefault="00D5662C" w:rsidP="003E0373">
            <w:pPr>
              <w:tabs>
                <w:tab w:val="left" w:pos="7830"/>
              </w:tabs>
              <w:jc w:val="center"/>
              <w:rPr>
                <w:rFonts w:eastAsia="Times New Roman" w:cs="Courier New"/>
                <w:b/>
                <w:i/>
                <w:sz w:val="24"/>
                <w:szCs w:val="24"/>
              </w:rPr>
            </w:pPr>
            <w:r w:rsidRPr="00F663BC">
              <w:rPr>
                <w:rFonts w:eastAsia="Times New Roman" w:cs="Courier New"/>
                <w:b/>
                <w:i/>
                <w:sz w:val="24"/>
                <w:szCs w:val="24"/>
              </w:rPr>
              <w:t>Overall Expectations</w:t>
            </w:r>
          </w:p>
        </w:tc>
        <w:tc>
          <w:tcPr>
            <w:tcW w:w="3903" w:type="dxa"/>
          </w:tcPr>
          <w:p w:rsidR="00D5662C" w:rsidRPr="00F663BC" w:rsidRDefault="00D5662C" w:rsidP="003E0373">
            <w:pPr>
              <w:tabs>
                <w:tab w:val="left" w:pos="7830"/>
              </w:tabs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F663BC">
              <w:rPr>
                <w:rFonts w:eastAsia="Times New Roman" w:cs="Courier New"/>
                <w:b/>
                <w:sz w:val="24"/>
                <w:szCs w:val="24"/>
              </w:rPr>
              <w:t>Important to know and do:</w:t>
            </w:r>
          </w:p>
          <w:p w:rsidR="00D5662C" w:rsidRPr="00F663BC" w:rsidRDefault="00D5662C" w:rsidP="003E0373">
            <w:pPr>
              <w:tabs>
                <w:tab w:val="left" w:pos="7830"/>
              </w:tabs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F663BC">
              <w:rPr>
                <w:rFonts w:eastAsia="Times New Roman" w:cs="Courier New"/>
                <w:b/>
                <w:i/>
                <w:sz w:val="24"/>
                <w:szCs w:val="24"/>
              </w:rPr>
              <w:t>Overall Expectations</w:t>
            </w:r>
          </w:p>
        </w:tc>
        <w:tc>
          <w:tcPr>
            <w:tcW w:w="3903" w:type="dxa"/>
          </w:tcPr>
          <w:p w:rsidR="00D5662C" w:rsidRPr="00F663BC" w:rsidRDefault="00D5662C" w:rsidP="003E0373">
            <w:pPr>
              <w:tabs>
                <w:tab w:val="left" w:pos="7830"/>
              </w:tabs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F663BC">
              <w:rPr>
                <w:rFonts w:eastAsia="Times New Roman" w:cs="Courier New"/>
                <w:b/>
                <w:sz w:val="24"/>
                <w:szCs w:val="24"/>
              </w:rPr>
              <w:t>Enduring understanding:</w:t>
            </w:r>
          </w:p>
          <w:p w:rsidR="00D5662C" w:rsidRPr="00F663BC" w:rsidRDefault="00D5662C" w:rsidP="003E0373">
            <w:pPr>
              <w:tabs>
                <w:tab w:val="left" w:pos="7830"/>
              </w:tabs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F663BC">
              <w:rPr>
                <w:rFonts w:eastAsia="Times New Roman" w:cs="Courier New"/>
                <w:b/>
                <w:i/>
                <w:sz w:val="24"/>
                <w:szCs w:val="24"/>
              </w:rPr>
              <w:t>Overall Expectations</w:t>
            </w:r>
          </w:p>
        </w:tc>
      </w:tr>
      <w:tr w:rsidR="00D5662C" w:rsidTr="003E0373">
        <w:trPr>
          <w:trHeight w:val="1645"/>
        </w:trPr>
        <w:tc>
          <w:tcPr>
            <w:tcW w:w="1874" w:type="dxa"/>
          </w:tcPr>
          <w:p w:rsidR="00D5662C" w:rsidRPr="00A8769A" w:rsidRDefault="00D5662C" w:rsidP="003E0373">
            <w:pPr>
              <w:tabs>
                <w:tab w:val="left" w:pos="7830"/>
              </w:tabs>
              <w:rPr>
                <w:rFonts w:eastAsia="Times New Roman" w:cs="Courier New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7830"/>
              </w:tabs>
              <w:rPr>
                <w:sz w:val="20"/>
                <w:szCs w:val="20"/>
              </w:rPr>
            </w:pPr>
          </w:p>
        </w:tc>
      </w:tr>
      <w:tr w:rsidR="00D5662C" w:rsidTr="003E0373">
        <w:trPr>
          <w:trHeight w:val="1645"/>
        </w:trPr>
        <w:tc>
          <w:tcPr>
            <w:tcW w:w="1874" w:type="dxa"/>
          </w:tcPr>
          <w:p w:rsidR="00D5662C" w:rsidRPr="00A8769A" w:rsidRDefault="00D5662C" w:rsidP="003E0373">
            <w:pPr>
              <w:tabs>
                <w:tab w:val="left" w:pos="7830"/>
              </w:tabs>
              <w:rPr>
                <w:rFonts w:eastAsia="Times New Roman" w:cs="Courier New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7830"/>
              </w:tabs>
              <w:rPr>
                <w:rFonts w:eastAsia="Times New Roman" w:cs="Courier New"/>
                <w:sz w:val="20"/>
                <w:szCs w:val="20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7830"/>
              </w:tabs>
              <w:rPr>
                <w:rFonts w:eastAsia="Times New Roman" w:cs="Courier New"/>
                <w:sz w:val="20"/>
                <w:szCs w:val="20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</w:rPr>
            </w:pPr>
          </w:p>
        </w:tc>
      </w:tr>
      <w:tr w:rsidR="00D5662C" w:rsidTr="003E0373">
        <w:trPr>
          <w:trHeight w:val="1645"/>
        </w:trPr>
        <w:tc>
          <w:tcPr>
            <w:tcW w:w="1874" w:type="dxa"/>
          </w:tcPr>
          <w:p w:rsidR="00D5662C" w:rsidRPr="00A8769A" w:rsidRDefault="00D5662C" w:rsidP="003E0373">
            <w:pPr>
              <w:tabs>
                <w:tab w:val="left" w:pos="7830"/>
              </w:tabs>
              <w:rPr>
                <w:rFonts w:eastAsia="Times New Roman" w:cs="Courier New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D5662C" w:rsidRPr="00705E13" w:rsidRDefault="00D5662C" w:rsidP="003E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3903" w:type="dxa"/>
          </w:tcPr>
          <w:p w:rsidR="00D5662C" w:rsidRPr="00705E13" w:rsidRDefault="00D5662C" w:rsidP="003E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</w:rPr>
            </w:pPr>
          </w:p>
        </w:tc>
      </w:tr>
      <w:tr w:rsidR="00D5662C" w:rsidTr="003E0373">
        <w:trPr>
          <w:trHeight w:val="1645"/>
        </w:trPr>
        <w:tc>
          <w:tcPr>
            <w:tcW w:w="1874" w:type="dxa"/>
          </w:tcPr>
          <w:p w:rsidR="00D5662C" w:rsidRPr="00A8769A" w:rsidRDefault="00D5662C" w:rsidP="003E0373">
            <w:pPr>
              <w:tabs>
                <w:tab w:val="left" w:pos="7830"/>
              </w:tabs>
              <w:rPr>
                <w:rFonts w:eastAsia="Times New Roman" w:cs="Courier New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</w:rPr>
            </w:pPr>
          </w:p>
        </w:tc>
      </w:tr>
      <w:tr w:rsidR="00D5662C" w:rsidTr="003E0373">
        <w:trPr>
          <w:trHeight w:val="1645"/>
        </w:trPr>
        <w:tc>
          <w:tcPr>
            <w:tcW w:w="1874" w:type="dxa"/>
          </w:tcPr>
          <w:p w:rsidR="00D5662C" w:rsidRPr="00A8769A" w:rsidRDefault="00D5662C" w:rsidP="003E0373">
            <w:pPr>
              <w:tabs>
                <w:tab w:val="left" w:pos="7830"/>
              </w:tabs>
              <w:rPr>
                <w:rFonts w:eastAsia="Times New Roman" w:cs="Courier New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</w:rPr>
            </w:pPr>
          </w:p>
        </w:tc>
        <w:tc>
          <w:tcPr>
            <w:tcW w:w="3903" w:type="dxa"/>
          </w:tcPr>
          <w:p w:rsidR="00D5662C" w:rsidRPr="00A8769A" w:rsidRDefault="00D5662C" w:rsidP="003E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</w:rPr>
            </w:pPr>
          </w:p>
        </w:tc>
      </w:tr>
    </w:tbl>
    <w:p w:rsidR="00D5662C" w:rsidRDefault="00D5662C">
      <w:pPr>
        <w:rPr>
          <w:rFonts w:ascii="Gill Sans MT" w:hAnsi="Gill Sans MT"/>
          <w:lang w:val="en-CA"/>
        </w:rPr>
      </w:pPr>
    </w:p>
    <w:p w:rsidR="00D5662C" w:rsidRDefault="00D5662C">
      <w:pPr>
        <w:spacing w:after="200" w:line="276" w:lineRule="auto"/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br w:type="page"/>
      </w:r>
    </w:p>
    <w:p w:rsidR="00422309" w:rsidRDefault="00422309">
      <w:pPr>
        <w:rPr>
          <w:rFonts w:ascii="Gill Sans MT" w:hAnsi="Gill Sans MT"/>
          <w:lang w:val="en-CA"/>
        </w:rPr>
      </w:pPr>
    </w:p>
    <w:p w:rsidR="00422309" w:rsidRDefault="00422309">
      <w:pPr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 xml:space="preserve">Session Two </w:t>
      </w:r>
    </w:p>
    <w:p w:rsidR="00A1798D" w:rsidRDefault="00A1798D">
      <w:pPr>
        <w:rPr>
          <w:rFonts w:ascii="Gill Sans MT" w:hAnsi="Gill Sans MT"/>
          <w:lang w:val="en-CA"/>
        </w:rPr>
      </w:pPr>
    </w:p>
    <w:p w:rsidR="00A1798D" w:rsidRDefault="00A1798D" w:rsidP="00A1798D">
      <w:pPr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 xml:space="preserve">Big Idea: </w:t>
      </w:r>
      <w:r w:rsidR="00F03C7A">
        <w:rPr>
          <w:rFonts w:ascii="Gill Sans MT" w:hAnsi="Gill Sans MT"/>
          <w:lang w:val="en-CA"/>
        </w:rPr>
        <w:t xml:space="preserve">Effective math learning </w:t>
      </w:r>
      <w:r>
        <w:rPr>
          <w:rFonts w:ascii="Gill Sans MT" w:hAnsi="Gill Sans MT"/>
          <w:lang w:val="en-CA"/>
        </w:rPr>
        <w:t>require</w:t>
      </w:r>
      <w:r w:rsidR="00F03C7A">
        <w:rPr>
          <w:rFonts w:ascii="Gill Sans MT" w:hAnsi="Gill Sans MT"/>
          <w:lang w:val="en-CA"/>
        </w:rPr>
        <w:t>s</w:t>
      </w:r>
      <w:r>
        <w:rPr>
          <w:rFonts w:ascii="Gill Sans MT" w:hAnsi="Gill Sans MT"/>
          <w:lang w:val="en-CA"/>
        </w:rPr>
        <w:t xml:space="preserve"> </w:t>
      </w:r>
      <w:r w:rsidR="00F03C7A">
        <w:rPr>
          <w:rFonts w:ascii="Gill Sans MT" w:hAnsi="Gill Sans MT"/>
          <w:lang w:val="en-CA"/>
        </w:rPr>
        <w:t>mathematically rich environments that are created by thoughtful educators. These environments don’t just exist from nothing—they are create</w:t>
      </w:r>
      <w:r w:rsidR="0010659A">
        <w:rPr>
          <w:rFonts w:ascii="Gill Sans MT" w:hAnsi="Gill Sans MT"/>
          <w:lang w:val="en-CA"/>
        </w:rPr>
        <w:t>d</w:t>
      </w:r>
      <w:r w:rsidR="00F03C7A">
        <w:rPr>
          <w:rFonts w:ascii="Gill Sans MT" w:hAnsi="Gill Sans MT"/>
          <w:lang w:val="en-CA"/>
        </w:rPr>
        <w:t xml:space="preserve"> through the principals of effective math instruction.</w:t>
      </w:r>
    </w:p>
    <w:p w:rsidR="00A1798D" w:rsidRDefault="00A1798D">
      <w:pPr>
        <w:rPr>
          <w:rFonts w:ascii="Gill Sans MT" w:hAnsi="Gill Sans MT"/>
          <w:lang w:val="en-CA"/>
        </w:rPr>
      </w:pPr>
    </w:p>
    <w:p w:rsidR="00286F89" w:rsidRDefault="00286F89">
      <w:pPr>
        <w:rPr>
          <w:rFonts w:ascii="Gill Sans MT" w:hAnsi="Gill Sans MT"/>
          <w:lang w:val="en-CA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316"/>
        <w:gridCol w:w="2316"/>
        <w:gridCol w:w="2676"/>
        <w:gridCol w:w="5148"/>
      </w:tblGrid>
      <w:tr w:rsidR="00286F89" w:rsidTr="00F03C7A">
        <w:tc>
          <w:tcPr>
            <w:tcW w:w="2316" w:type="dxa"/>
          </w:tcPr>
          <w:p w:rsidR="00286F89" w:rsidRDefault="00286F89" w:rsidP="003E0373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Topic</w:t>
            </w:r>
          </w:p>
        </w:tc>
        <w:tc>
          <w:tcPr>
            <w:tcW w:w="2316" w:type="dxa"/>
          </w:tcPr>
          <w:p w:rsidR="00286F89" w:rsidRDefault="00286F89" w:rsidP="003E0373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Questions</w:t>
            </w:r>
          </w:p>
        </w:tc>
        <w:tc>
          <w:tcPr>
            <w:tcW w:w="2676" w:type="dxa"/>
          </w:tcPr>
          <w:p w:rsidR="00286F89" w:rsidRDefault="00286F89" w:rsidP="003E0373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References and Resources</w:t>
            </w:r>
          </w:p>
        </w:tc>
        <w:tc>
          <w:tcPr>
            <w:tcW w:w="5148" w:type="dxa"/>
          </w:tcPr>
          <w:p w:rsidR="00286F89" w:rsidRDefault="00286F89" w:rsidP="003E0373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Notes and Reflection</w:t>
            </w:r>
          </w:p>
        </w:tc>
      </w:tr>
      <w:tr w:rsidR="00286F89" w:rsidTr="00F03C7A">
        <w:trPr>
          <w:trHeight w:val="2847"/>
        </w:trPr>
        <w:tc>
          <w:tcPr>
            <w:tcW w:w="2316" w:type="dxa"/>
          </w:tcPr>
          <w:p w:rsidR="00286F89" w:rsidRDefault="00286F89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 xml:space="preserve">Overview of the principals underlying effective </w:t>
            </w:r>
          </w:p>
          <w:p w:rsidR="00286F89" w:rsidRDefault="00286F89" w:rsidP="003E0373">
            <w:pPr>
              <w:pStyle w:val="ListParagraph"/>
              <w:ind w:left="810"/>
              <w:rPr>
                <w:rFonts w:ascii="Gill Sans MT" w:hAnsi="Gill Sans MT"/>
                <w:lang w:val="en-CA"/>
              </w:rPr>
            </w:pPr>
          </w:p>
        </w:tc>
        <w:tc>
          <w:tcPr>
            <w:tcW w:w="2316" w:type="dxa"/>
          </w:tcPr>
          <w:p w:rsidR="00286F89" w:rsidRDefault="00286F89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Reflect on teacher strengths—what principles are we attuned to?</w:t>
            </w:r>
          </w:p>
          <w:p w:rsidR="00286F89" w:rsidRDefault="00286F89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Reflect on areas of growth—what principles are we aware of?</w:t>
            </w:r>
          </w:p>
        </w:tc>
        <w:tc>
          <w:tcPr>
            <w:tcW w:w="2676" w:type="dxa"/>
          </w:tcPr>
          <w:p w:rsidR="00286F89" w:rsidRDefault="00286F89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 xml:space="preserve">Principals Underlying Effective Math Instruction in </w:t>
            </w:r>
            <w:r>
              <w:rPr>
                <w:rFonts w:ascii="Gill Sans MT" w:hAnsi="Gill Sans MT"/>
                <w:i/>
                <w:lang w:val="en-CA"/>
              </w:rPr>
              <w:t xml:space="preserve">A Guide To Effective Instruction in Mathematics, Kindergarten to grade 6—volume one </w:t>
            </w:r>
            <w:r>
              <w:rPr>
                <w:rFonts w:ascii="Gill Sans MT" w:hAnsi="Gill Sans MT"/>
                <w:lang w:val="en-CA"/>
              </w:rPr>
              <w:t>pp23-43</w:t>
            </w:r>
          </w:p>
        </w:tc>
        <w:tc>
          <w:tcPr>
            <w:tcW w:w="5148" w:type="dxa"/>
          </w:tcPr>
          <w:p w:rsidR="00286F89" w:rsidRDefault="00286F89" w:rsidP="003E0373">
            <w:pPr>
              <w:pStyle w:val="ListParagraph"/>
              <w:ind w:left="450"/>
              <w:rPr>
                <w:rFonts w:ascii="Gill Sans MT" w:hAnsi="Gill Sans MT"/>
                <w:lang w:val="en-CA"/>
              </w:rPr>
            </w:pPr>
          </w:p>
        </w:tc>
      </w:tr>
      <w:tr w:rsidR="00286F89" w:rsidRPr="001B13AF" w:rsidTr="00F03C7A">
        <w:trPr>
          <w:trHeight w:val="2847"/>
        </w:trPr>
        <w:tc>
          <w:tcPr>
            <w:tcW w:w="2316" w:type="dxa"/>
          </w:tcPr>
          <w:p w:rsidR="00286F89" w:rsidRPr="001B13AF" w:rsidRDefault="00A1798D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Planning  “KOSMA” chart</w:t>
            </w:r>
          </w:p>
        </w:tc>
        <w:tc>
          <w:tcPr>
            <w:tcW w:w="2316" w:type="dxa"/>
          </w:tcPr>
          <w:p w:rsidR="00286F89" w:rsidRDefault="00A1798D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What is an effective plan for ensuring that effective math principles are being taught in our school?</w:t>
            </w:r>
          </w:p>
          <w:p w:rsidR="005B6877" w:rsidRDefault="005B6877" w:rsidP="00085C01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 xml:space="preserve">How can we ensure that all of the stakeholders are well equipped allies in our </w:t>
            </w:r>
            <w:r w:rsidR="00085C01">
              <w:rPr>
                <w:rFonts w:ascii="Gill Sans MT" w:hAnsi="Gill Sans MT"/>
                <w:lang w:val="en-CA"/>
              </w:rPr>
              <w:t xml:space="preserve">pursuit of </w:t>
            </w:r>
            <w:r>
              <w:rPr>
                <w:rFonts w:ascii="Gill Sans MT" w:hAnsi="Gill Sans MT"/>
                <w:lang w:val="en-CA"/>
              </w:rPr>
              <w:t>effective math instruction?</w:t>
            </w:r>
          </w:p>
        </w:tc>
        <w:tc>
          <w:tcPr>
            <w:tcW w:w="2676" w:type="dxa"/>
          </w:tcPr>
          <w:p w:rsidR="00286F89" w:rsidRDefault="00A1798D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KOSMA Chart</w:t>
            </w:r>
          </w:p>
        </w:tc>
        <w:tc>
          <w:tcPr>
            <w:tcW w:w="5148" w:type="dxa"/>
          </w:tcPr>
          <w:p w:rsidR="00286F89" w:rsidRDefault="00286F89" w:rsidP="003E0373">
            <w:pPr>
              <w:pStyle w:val="ListParagraph"/>
              <w:ind w:left="450"/>
              <w:rPr>
                <w:rFonts w:ascii="Gill Sans MT" w:hAnsi="Gill Sans MT"/>
                <w:lang w:val="en-CA"/>
              </w:rPr>
            </w:pPr>
          </w:p>
        </w:tc>
      </w:tr>
    </w:tbl>
    <w:p w:rsidR="00A1798D" w:rsidRDefault="00A1798D">
      <w:pPr>
        <w:rPr>
          <w:rFonts w:ascii="Gill Sans MT" w:hAnsi="Gill Sans MT"/>
        </w:rPr>
      </w:pPr>
    </w:p>
    <w:p w:rsidR="00A1798D" w:rsidRDefault="00A1798D">
      <w:pPr>
        <w:spacing w:after="200" w:line="276" w:lineRule="auto"/>
        <w:rPr>
          <w:rFonts w:ascii="Gill Sans MT" w:hAnsi="Gill Sans MT"/>
        </w:rPr>
      </w:pPr>
      <w:r>
        <w:rPr>
          <w:rFonts w:ascii="Gill Sans MT" w:hAnsi="Gill Sans MT"/>
        </w:rPr>
        <w:t>Product: Strategic Planning KOSMA chart</w:t>
      </w:r>
    </w:p>
    <w:p w:rsidR="0010659A" w:rsidRPr="00286F89" w:rsidRDefault="00A1798D" w:rsidP="0010659A">
      <w:pPr>
        <w:rPr>
          <w:rFonts w:ascii="Gill Sans MT" w:hAnsi="Gill Sans MT"/>
          <w:lang w:val="en-CA"/>
        </w:rPr>
      </w:pPr>
      <w:r>
        <w:rPr>
          <w:rFonts w:ascii="Gill Sans MT" w:hAnsi="Gill Sans MT"/>
        </w:rPr>
        <w:t>Next Step: Reading</w:t>
      </w:r>
      <w:r w:rsidR="00D26962">
        <w:rPr>
          <w:rFonts w:ascii="Gill Sans MT" w:hAnsi="Gill Sans MT"/>
        </w:rPr>
        <w:t xml:space="preserve"> “Fractions</w:t>
      </w:r>
      <w:r w:rsidR="008E5A6A">
        <w:rPr>
          <w:rFonts w:ascii="Gill Sans MT" w:hAnsi="Gill Sans MT"/>
        </w:rPr>
        <w:t xml:space="preserve">” </w:t>
      </w:r>
      <w:r w:rsidR="008E5A6A" w:rsidRPr="0010659A">
        <w:rPr>
          <w:rFonts w:ascii="Gill Sans MT" w:hAnsi="Gill Sans MT"/>
          <w:i/>
          <w:lang w:val="en-CA"/>
        </w:rPr>
        <w:t>A</w:t>
      </w:r>
      <w:r w:rsidR="0010659A">
        <w:rPr>
          <w:rFonts w:ascii="Gill Sans MT" w:hAnsi="Gill Sans MT"/>
          <w:i/>
          <w:lang w:val="en-CA"/>
        </w:rPr>
        <w:t xml:space="preserve"> Guide To Effective Instruction in Mathematics, Kindergarten to grade 6—volume </w:t>
      </w:r>
      <w:r w:rsidR="00D26962">
        <w:rPr>
          <w:rFonts w:ascii="Gill Sans MT" w:hAnsi="Gill Sans MT"/>
          <w:i/>
          <w:lang w:val="en-CA"/>
        </w:rPr>
        <w:t>five</w:t>
      </w:r>
    </w:p>
    <w:p w:rsidR="00A1798D" w:rsidRDefault="00A1798D">
      <w:pPr>
        <w:spacing w:after="200" w:line="276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pPr w:leftFromText="180" w:rightFromText="180" w:horzAnchor="margin" w:tblpY="1086"/>
        <w:tblW w:w="13158" w:type="dxa"/>
        <w:tblLook w:val="01E0"/>
      </w:tblPr>
      <w:tblGrid>
        <w:gridCol w:w="1861"/>
        <w:gridCol w:w="2259"/>
        <w:gridCol w:w="2259"/>
        <w:gridCol w:w="2260"/>
        <w:gridCol w:w="2259"/>
        <w:gridCol w:w="2260"/>
      </w:tblGrid>
      <w:tr w:rsidR="00A1798D" w:rsidTr="005B6877">
        <w:trPr>
          <w:trHeight w:val="530"/>
        </w:trPr>
        <w:tc>
          <w:tcPr>
            <w:tcW w:w="1861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59" w:type="dxa"/>
            <w:vAlign w:val="center"/>
          </w:tcPr>
          <w:p w:rsidR="00A1798D" w:rsidRPr="000D0533" w:rsidRDefault="00A1798D" w:rsidP="005B6877">
            <w:pPr>
              <w:jc w:val="center"/>
              <w:rPr>
                <w:rFonts w:ascii="Arial Narrow" w:eastAsia="Calibri" w:hAnsi="Arial Narrow"/>
                <w:b/>
              </w:rPr>
            </w:pPr>
            <w:r w:rsidRPr="000D0533">
              <w:rPr>
                <w:rFonts w:ascii="Arial Narrow" w:eastAsia="Calibri" w:hAnsi="Arial Narrow"/>
                <w:b/>
              </w:rPr>
              <w:t>Students</w:t>
            </w:r>
          </w:p>
        </w:tc>
        <w:tc>
          <w:tcPr>
            <w:tcW w:w="2259" w:type="dxa"/>
            <w:vAlign w:val="center"/>
          </w:tcPr>
          <w:p w:rsidR="00A1798D" w:rsidRPr="000D0533" w:rsidRDefault="00A1798D" w:rsidP="005B6877">
            <w:pPr>
              <w:jc w:val="center"/>
              <w:rPr>
                <w:rFonts w:ascii="Arial Narrow" w:eastAsia="Calibri" w:hAnsi="Arial Narrow"/>
                <w:b/>
              </w:rPr>
            </w:pPr>
            <w:r w:rsidRPr="000D0533">
              <w:rPr>
                <w:rFonts w:ascii="Arial Narrow" w:eastAsia="Calibri" w:hAnsi="Arial Narrow"/>
                <w:b/>
              </w:rPr>
              <w:t>Teachers</w:t>
            </w:r>
          </w:p>
        </w:tc>
        <w:tc>
          <w:tcPr>
            <w:tcW w:w="2260" w:type="dxa"/>
            <w:vAlign w:val="center"/>
          </w:tcPr>
          <w:p w:rsidR="00A1798D" w:rsidRPr="000D0533" w:rsidRDefault="00A1798D" w:rsidP="005B6877">
            <w:pPr>
              <w:jc w:val="center"/>
              <w:rPr>
                <w:rFonts w:ascii="Arial Narrow" w:eastAsia="Calibri" w:hAnsi="Arial Narrow"/>
                <w:b/>
              </w:rPr>
            </w:pPr>
            <w:r w:rsidRPr="000D0533">
              <w:rPr>
                <w:rFonts w:ascii="Arial Narrow" w:eastAsia="Calibri" w:hAnsi="Arial Narrow"/>
                <w:b/>
              </w:rPr>
              <w:t>Principals</w:t>
            </w:r>
          </w:p>
        </w:tc>
        <w:tc>
          <w:tcPr>
            <w:tcW w:w="2259" w:type="dxa"/>
            <w:vAlign w:val="center"/>
          </w:tcPr>
          <w:p w:rsidR="00A1798D" w:rsidRPr="000D0533" w:rsidRDefault="00A1798D" w:rsidP="005B6877">
            <w:pPr>
              <w:jc w:val="center"/>
              <w:rPr>
                <w:rFonts w:ascii="Arial Narrow" w:eastAsia="Calibri" w:hAnsi="Arial Narrow"/>
                <w:b/>
              </w:rPr>
            </w:pPr>
            <w:r w:rsidRPr="000D0533">
              <w:rPr>
                <w:rFonts w:ascii="Arial Narrow" w:eastAsia="Calibri" w:hAnsi="Arial Narrow"/>
                <w:b/>
              </w:rPr>
              <w:t>Parents</w:t>
            </w:r>
          </w:p>
        </w:tc>
        <w:tc>
          <w:tcPr>
            <w:tcW w:w="2260" w:type="dxa"/>
            <w:vAlign w:val="center"/>
          </w:tcPr>
          <w:p w:rsidR="00A1798D" w:rsidRPr="000D0533" w:rsidRDefault="00A1798D" w:rsidP="005B6877">
            <w:pPr>
              <w:jc w:val="center"/>
              <w:rPr>
                <w:rFonts w:ascii="Arial Narrow" w:eastAsia="Calibri" w:hAnsi="Arial Narrow"/>
                <w:b/>
              </w:rPr>
            </w:pPr>
            <w:r w:rsidRPr="000D0533">
              <w:rPr>
                <w:rFonts w:ascii="Arial Narrow" w:eastAsia="Calibri" w:hAnsi="Arial Narrow"/>
                <w:b/>
              </w:rPr>
              <w:t>Board Office</w:t>
            </w:r>
          </w:p>
        </w:tc>
      </w:tr>
      <w:tr w:rsidR="00A1798D" w:rsidTr="005B6877">
        <w:trPr>
          <w:trHeight w:val="1755"/>
        </w:trPr>
        <w:tc>
          <w:tcPr>
            <w:tcW w:w="1861" w:type="dxa"/>
            <w:vAlign w:val="center"/>
          </w:tcPr>
          <w:p w:rsidR="00A1798D" w:rsidRPr="000D0533" w:rsidRDefault="00A1798D" w:rsidP="005B6877">
            <w:pPr>
              <w:rPr>
                <w:rFonts w:ascii="Arial Narrow" w:eastAsia="Calibri" w:hAnsi="Arial Narrow"/>
                <w:b/>
              </w:rPr>
            </w:pPr>
            <w:r w:rsidRPr="000D0533">
              <w:rPr>
                <w:rFonts w:ascii="Arial Narrow" w:eastAsia="Calibri" w:hAnsi="Arial Narrow"/>
                <w:b/>
              </w:rPr>
              <w:t>Knowledge</w:t>
            </w:r>
            <w:r w:rsidRPr="00323487">
              <w:rPr>
                <w:rFonts w:ascii="Arial Narrow" w:eastAsia="Calibri" w:hAnsi="Arial Narrow"/>
                <w:sz w:val="20"/>
                <w:szCs w:val="20"/>
              </w:rPr>
              <w:t xml:space="preserve"> Knowledge – understanding of theories, principals, research, ideas</w:t>
            </w: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60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60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</w:tr>
      <w:tr w:rsidR="00A1798D" w:rsidTr="005B6877">
        <w:trPr>
          <w:trHeight w:val="1755"/>
        </w:trPr>
        <w:tc>
          <w:tcPr>
            <w:tcW w:w="1861" w:type="dxa"/>
            <w:vAlign w:val="center"/>
          </w:tcPr>
          <w:p w:rsidR="00A1798D" w:rsidRDefault="00A1798D" w:rsidP="005B6877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0D0533">
              <w:rPr>
                <w:rFonts w:ascii="Arial Narrow" w:eastAsia="Calibri" w:hAnsi="Arial Narrow"/>
                <w:b/>
              </w:rPr>
              <w:t>Outlook</w:t>
            </w:r>
          </w:p>
          <w:p w:rsidR="00A1798D" w:rsidRPr="00323487" w:rsidRDefault="00A1798D" w:rsidP="005B6877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23487">
              <w:rPr>
                <w:rFonts w:ascii="Arial Narrow" w:eastAsia="Calibri" w:hAnsi="Arial Narrow"/>
                <w:sz w:val="20"/>
                <w:szCs w:val="20"/>
              </w:rPr>
              <w:t xml:space="preserve">Outlook – beliefs about the value of the program, information, strategies </w:t>
            </w:r>
          </w:p>
          <w:p w:rsidR="00A1798D" w:rsidRPr="000D0533" w:rsidRDefault="00A1798D" w:rsidP="005B6877">
            <w:pPr>
              <w:rPr>
                <w:rFonts w:ascii="Arial Narrow" w:eastAsia="Calibri" w:hAnsi="Arial Narrow"/>
                <w:b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60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60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</w:tr>
      <w:tr w:rsidR="00A1798D" w:rsidTr="005B6877">
        <w:trPr>
          <w:trHeight w:val="1755"/>
        </w:trPr>
        <w:tc>
          <w:tcPr>
            <w:tcW w:w="1861" w:type="dxa"/>
            <w:vAlign w:val="center"/>
          </w:tcPr>
          <w:p w:rsidR="00A1798D" w:rsidRDefault="00A1798D" w:rsidP="005B6877">
            <w:pPr>
              <w:rPr>
                <w:rFonts w:ascii="Arial Narrow" w:eastAsia="Calibri" w:hAnsi="Arial Narrow"/>
                <w:b/>
              </w:rPr>
            </w:pPr>
            <w:r w:rsidRPr="000D0533">
              <w:rPr>
                <w:rFonts w:ascii="Arial Narrow" w:eastAsia="Calibri" w:hAnsi="Arial Narrow"/>
                <w:b/>
              </w:rPr>
              <w:t>Skills</w:t>
            </w:r>
          </w:p>
          <w:p w:rsidR="00A1798D" w:rsidRPr="00323487" w:rsidRDefault="00A1798D" w:rsidP="005B6877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23487">
              <w:rPr>
                <w:rFonts w:ascii="Arial Narrow" w:eastAsia="Calibri" w:hAnsi="Arial Narrow"/>
                <w:sz w:val="20"/>
                <w:szCs w:val="20"/>
              </w:rPr>
              <w:t>Skills – strategies and techniques to apply knowledge</w:t>
            </w:r>
          </w:p>
          <w:p w:rsidR="00A1798D" w:rsidRPr="000D0533" w:rsidRDefault="00A1798D" w:rsidP="005B6877">
            <w:pPr>
              <w:rPr>
                <w:rFonts w:ascii="Arial Narrow" w:eastAsia="Calibri" w:hAnsi="Arial Narrow"/>
                <w:b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60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60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</w:tr>
      <w:tr w:rsidR="00A1798D" w:rsidTr="005B6877">
        <w:trPr>
          <w:trHeight w:val="1755"/>
        </w:trPr>
        <w:tc>
          <w:tcPr>
            <w:tcW w:w="1861" w:type="dxa"/>
            <w:vAlign w:val="center"/>
          </w:tcPr>
          <w:p w:rsidR="00A1798D" w:rsidRPr="00323487" w:rsidRDefault="00A1798D" w:rsidP="005B6877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0D0533">
              <w:rPr>
                <w:rFonts w:ascii="Arial Narrow" w:eastAsia="Calibri" w:hAnsi="Arial Narrow"/>
                <w:b/>
              </w:rPr>
              <w:t>Motivation</w:t>
            </w:r>
            <w:r w:rsidRPr="00323487">
              <w:rPr>
                <w:rFonts w:ascii="Arial Narrow" w:eastAsia="Calibri" w:hAnsi="Arial Narrow"/>
                <w:sz w:val="20"/>
                <w:szCs w:val="20"/>
              </w:rPr>
              <w:t xml:space="preserve"> Motivation – desire or aspiration to engage in and follow through with a particular practice</w:t>
            </w:r>
          </w:p>
          <w:p w:rsidR="00A1798D" w:rsidRPr="000D0533" w:rsidRDefault="00A1798D" w:rsidP="005B6877">
            <w:pPr>
              <w:rPr>
                <w:rFonts w:ascii="Arial Narrow" w:eastAsia="Calibri" w:hAnsi="Arial Narrow"/>
                <w:b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60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60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</w:tr>
      <w:tr w:rsidR="00A1798D" w:rsidTr="005B6877">
        <w:trPr>
          <w:trHeight w:val="1755"/>
        </w:trPr>
        <w:tc>
          <w:tcPr>
            <w:tcW w:w="1861" w:type="dxa"/>
            <w:vAlign w:val="center"/>
          </w:tcPr>
          <w:p w:rsidR="00A1798D" w:rsidRDefault="00A1798D" w:rsidP="005B6877">
            <w:pPr>
              <w:rPr>
                <w:rFonts w:ascii="Arial Narrow" w:eastAsia="Calibri" w:hAnsi="Arial Narrow"/>
                <w:b/>
              </w:rPr>
            </w:pPr>
            <w:r w:rsidRPr="000D0533">
              <w:rPr>
                <w:rFonts w:ascii="Arial Narrow" w:eastAsia="Calibri" w:hAnsi="Arial Narrow"/>
                <w:b/>
              </w:rPr>
              <w:t>Application</w:t>
            </w:r>
          </w:p>
          <w:p w:rsidR="00A1798D" w:rsidRPr="00323487" w:rsidRDefault="00A1798D" w:rsidP="005B6877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23487">
              <w:rPr>
                <w:rFonts w:ascii="Arial Narrow" w:eastAsia="Calibri" w:hAnsi="Arial Narrow"/>
                <w:sz w:val="20"/>
                <w:szCs w:val="20"/>
              </w:rPr>
              <w:t>Application - using the knowledge and skills regularly and consistently</w:t>
            </w:r>
          </w:p>
          <w:p w:rsidR="00A1798D" w:rsidRPr="000D0533" w:rsidRDefault="00A1798D" w:rsidP="005B6877">
            <w:pPr>
              <w:rPr>
                <w:rFonts w:ascii="Arial Narrow" w:eastAsia="Calibri" w:hAnsi="Arial Narrow"/>
                <w:b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60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59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  <w:tc>
          <w:tcPr>
            <w:tcW w:w="2260" w:type="dxa"/>
          </w:tcPr>
          <w:p w:rsidR="00A1798D" w:rsidRDefault="00A1798D" w:rsidP="005B6877">
            <w:pPr>
              <w:rPr>
                <w:rFonts w:ascii="Calibri" w:eastAsia="Calibri" w:hAnsi="Calibri"/>
              </w:rPr>
            </w:pPr>
          </w:p>
        </w:tc>
      </w:tr>
    </w:tbl>
    <w:p w:rsidR="00A1798D" w:rsidRDefault="00A1798D" w:rsidP="00A1798D">
      <w:pPr>
        <w:ind w:left="-90"/>
        <w:rPr>
          <w:rFonts w:ascii="Gill Sans MT" w:hAnsi="Gill Sans MT"/>
        </w:rPr>
      </w:pPr>
    </w:p>
    <w:p w:rsidR="005B6877" w:rsidRDefault="005B6877" w:rsidP="005B6877">
      <w:pPr>
        <w:rPr>
          <w:rFonts w:ascii="Gill Sans MT" w:hAnsi="Gill Sans MT"/>
          <w:lang w:val="en-CA"/>
        </w:rPr>
      </w:pPr>
      <w:r>
        <w:rPr>
          <w:rFonts w:ascii="Gill Sans MT" w:hAnsi="Gill Sans MT"/>
        </w:rPr>
        <w:t xml:space="preserve">In order for the principles of effective math instruction to root in the culture of our school community we must plan with many stakeholders in mind. </w:t>
      </w:r>
      <w:r w:rsidR="00A1798D">
        <w:rPr>
          <w:rFonts w:ascii="Gill Sans MT" w:hAnsi="Gill Sans MT"/>
        </w:rPr>
        <w:br w:type="page"/>
      </w:r>
    </w:p>
    <w:p w:rsidR="005B6877" w:rsidRDefault="005B6877" w:rsidP="005B6877">
      <w:pPr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lastRenderedPageBreak/>
        <w:t>Session Three</w:t>
      </w:r>
    </w:p>
    <w:p w:rsidR="005B6877" w:rsidRDefault="005B6877" w:rsidP="005B6877">
      <w:pPr>
        <w:rPr>
          <w:rFonts w:ascii="Gill Sans MT" w:hAnsi="Gill Sans MT"/>
          <w:lang w:val="en-CA"/>
        </w:rPr>
      </w:pPr>
    </w:p>
    <w:p w:rsidR="005B6877" w:rsidRDefault="005B6877" w:rsidP="005B6877">
      <w:pPr>
        <w:rPr>
          <w:rFonts w:ascii="Gill Sans MT" w:hAnsi="Gill Sans MT"/>
          <w:lang w:val="en-CA"/>
        </w:rPr>
      </w:pPr>
      <w:r>
        <w:rPr>
          <w:rFonts w:ascii="Gill Sans MT" w:hAnsi="Gill Sans MT"/>
          <w:lang w:val="en-CA"/>
        </w:rPr>
        <w:t>Big Idea: Fractions</w:t>
      </w:r>
    </w:p>
    <w:p w:rsidR="005B6877" w:rsidRDefault="005B6877" w:rsidP="005B6877">
      <w:pPr>
        <w:rPr>
          <w:rFonts w:ascii="Gill Sans MT" w:hAnsi="Gill Sans MT"/>
          <w:lang w:val="en-CA"/>
        </w:rPr>
      </w:pPr>
    </w:p>
    <w:p w:rsidR="005B6877" w:rsidRDefault="005B6877" w:rsidP="005B6877">
      <w:pPr>
        <w:rPr>
          <w:rFonts w:ascii="Gill Sans MT" w:hAnsi="Gill Sans MT"/>
          <w:lang w:val="en-CA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316"/>
        <w:gridCol w:w="2316"/>
        <w:gridCol w:w="2676"/>
        <w:gridCol w:w="5148"/>
      </w:tblGrid>
      <w:tr w:rsidR="005B6877" w:rsidTr="003E0373">
        <w:tc>
          <w:tcPr>
            <w:tcW w:w="2316" w:type="dxa"/>
          </w:tcPr>
          <w:p w:rsidR="005B6877" w:rsidRDefault="005B6877" w:rsidP="003E0373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Topic</w:t>
            </w:r>
          </w:p>
        </w:tc>
        <w:tc>
          <w:tcPr>
            <w:tcW w:w="2316" w:type="dxa"/>
          </w:tcPr>
          <w:p w:rsidR="005B6877" w:rsidRDefault="005B6877" w:rsidP="003E0373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Questions</w:t>
            </w:r>
          </w:p>
        </w:tc>
        <w:tc>
          <w:tcPr>
            <w:tcW w:w="2676" w:type="dxa"/>
          </w:tcPr>
          <w:p w:rsidR="005B6877" w:rsidRDefault="005B6877" w:rsidP="003E0373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References and Resources</w:t>
            </w:r>
          </w:p>
        </w:tc>
        <w:tc>
          <w:tcPr>
            <w:tcW w:w="5148" w:type="dxa"/>
          </w:tcPr>
          <w:p w:rsidR="005B6877" w:rsidRDefault="005B6877" w:rsidP="003E0373">
            <w:pPr>
              <w:pStyle w:val="ListParagraph"/>
              <w:ind w:left="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Notes and Reflection</w:t>
            </w:r>
          </w:p>
        </w:tc>
      </w:tr>
      <w:tr w:rsidR="005B6877" w:rsidTr="003E0373">
        <w:trPr>
          <w:trHeight w:val="2847"/>
        </w:trPr>
        <w:tc>
          <w:tcPr>
            <w:tcW w:w="2316" w:type="dxa"/>
          </w:tcPr>
          <w:p w:rsidR="005B6877" w:rsidRDefault="005B6877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 xml:space="preserve">Overview of the </w:t>
            </w:r>
            <w:r w:rsidR="00D26962">
              <w:rPr>
                <w:rFonts w:ascii="Gill Sans MT" w:hAnsi="Gill Sans MT"/>
                <w:lang w:val="en-CA"/>
              </w:rPr>
              <w:t>“Fractions” document</w:t>
            </w:r>
            <w:r>
              <w:rPr>
                <w:rFonts w:ascii="Gill Sans MT" w:hAnsi="Gill Sans MT"/>
                <w:lang w:val="en-CA"/>
              </w:rPr>
              <w:t xml:space="preserve"> </w:t>
            </w:r>
          </w:p>
          <w:p w:rsidR="005B6877" w:rsidRDefault="005B6877" w:rsidP="003E0373">
            <w:pPr>
              <w:pStyle w:val="ListParagraph"/>
              <w:ind w:left="810"/>
              <w:rPr>
                <w:rFonts w:ascii="Gill Sans MT" w:hAnsi="Gill Sans MT"/>
                <w:lang w:val="en-CA"/>
              </w:rPr>
            </w:pPr>
          </w:p>
        </w:tc>
        <w:tc>
          <w:tcPr>
            <w:tcW w:w="2316" w:type="dxa"/>
          </w:tcPr>
          <w:p w:rsidR="00D26962" w:rsidRDefault="00D26962" w:rsidP="00D2696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 xml:space="preserve">What did you find interesting, </w:t>
            </w:r>
          </w:p>
          <w:p w:rsidR="00D26962" w:rsidRDefault="00D26962" w:rsidP="00D2696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What would you use in your class?</w:t>
            </w:r>
          </w:p>
          <w:p w:rsidR="00D26962" w:rsidRPr="00D26962" w:rsidRDefault="00D26962" w:rsidP="00D26962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 xml:space="preserve">Are there any areas in the in the book that you think would flop in front of students? </w:t>
            </w:r>
          </w:p>
        </w:tc>
        <w:tc>
          <w:tcPr>
            <w:tcW w:w="2676" w:type="dxa"/>
          </w:tcPr>
          <w:p w:rsidR="008E5A6A" w:rsidRPr="008E5A6A" w:rsidRDefault="008E5A6A" w:rsidP="008E5A6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CA"/>
              </w:rPr>
            </w:pPr>
            <w:r w:rsidRPr="008E5A6A">
              <w:rPr>
                <w:rFonts w:ascii="Gill Sans MT" w:hAnsi="Gill Sans MT"/>
              </w:rPr>
              <w:t xml:space="preserve">“Fractions” </w:t>
            </w:r>
            <w:r w:rsidRPr="008E5A6A">
              <w:rPr>
                <w:rFonts w:ascii="Gill Sans MT" w:hAnsi="Gill Sans MT"/>
                <w:i/>
                <w:lang w:val="en-CA"/>
              </w:rPr>
              <w:t xml:space="preserve"> A Guide To Effective Instruction in Mathematics, Kindergarten to grade 6—volume five</w:t>
            </w:r>
          </w:p>
          <w:p w:rsidR="005B6877" w:rsidRDefault="005B6877" w:rsidP="008E5A6A">
            <w:pPr>
              <w:pStyle w:val="ListParagraph"/>
              <w:ind w:left="450"/>
              <w:rPr>
                <w:rFonts w:ascii="Gill Sans MT" w:hAnsi="Gill Sans MT"/>
                <w:lang w:val="en-CA"/>
              </w:rPr>
            </w:pPr>
          </w:p>
        </w:tc>
        <w:tc>
          <w:tcPr>
            <w:tcW w:w="5148" w:type="dxa"/>
          </w:tcPr>
          <w:p w:rsidR="005B6877" w:rsidRDefault="005B6877" w:rsidP="003E0373">
            <w:pPr>
              <w:pStyle w:val="ListParagraph"/>
              <w:ind w:left="450"/>
              <w:rPr>
                <w:rFonts w:ascii="Gill Sans MT" w:hAnsi="Gill Sans MT"/>
                <w:lang w:val="en-CA"/>
              </w:rPr>
            </w:pPr>
          </w:p>
        </w:tc>
      </w:tr>
      <w:tr w:rsidR="005B6877" w:rsidRPr="001B13AF" w:rsidTr="008E5A6A">
        <w:trPr>
          <w:trHeight w:val="1414"/>
        </w:trPr>
        <w:tc>
          <w:tcPr>
            <w:tcW w:w="2316" w:type="dxa"/>
          </w:tcPr>
          <w:p w:rsidR="005B6877" w:rsidRPr="001B13AF" w:rsidRDefault="00D26962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 xml:space="preserve">Exploring the printable documents </w:t>
            </w:r>
          </w:p>
        </w:tc>
        <w:tc>
          <w:tcPr>
            <w:tcW w:w="2316" w:type="dxa"/>
          </w:tcPr>
          <w:p w:rsidR="005B6877" w:rsidRDefault="00D26962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Which document on the eworkshop module do you find most useful?</w:t>
            </w:r>
          </w:p>
        </w:tc>
        <w:tc>
          <w:tcPr>
            <w:tcW w:w="2676" w:type="dxa"/>
          </w:tcPr>
          <w:p w:rsidR="005B6877" w:rsidRDefault="008E5A6A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 w:rsidRPr="008E5A6A">
              <w:rPr>
                <w:rFonts w:ascii="Gill Sans MT" w:hAnsi="Gill Sans MT"/>
                <w:lang w:val="en-CA"/>
              </w:rPr>
              <w:t>http://www.eworkshop.on.ca/edu/core.cfm?p=documentView&amp;navID=documentView&amp;c=0&amp;type=2&amp;L=1</w:t>
            </w:r>
          </w:p>
        </w:tc>
        <w:tc>
          <w:tcPr>
            <w:tcW w:w="5148" w:type="dxa"/>
          </w:tcPr>
          <w:p w:rsidR="005B6877" w:rsidRDefault="005B6877" w:rsidP="003E0373">
            <w:pPr>
              <w:pStyle w:val="ListParagraph"/>
              <w:ind w:left="450"/>
              <w:rPr>
                <w:rFonts w:ascii="Gill Sans MT" w:hAnsi="Gill Sans MT"/>
                <w:lang w:val="en-CA"/>
              </w:rPr>
            </w:pPr>
          </w:p>
        </w:tc>
      </w:tr>
      <w:tr w:rsidR="00D26962" w:rsidRPr="001B13AF" w:rsidTr="008E5A6A">
        <w:trPr>
          <w:trHeight w:val="1801"/>
        </w:trPr>
        <w:tc>
          <w:tcPr>
            <w:tcW w:w="2316" w:type="dxa"/>
          </w:tcPr>
          <w:p w:rsidR="00D26962" w:rsidRDefault="00D26962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Co-plan, co-teach, co-assess a fractions lesson based on the “Fractions” document</w:t>
            </w:r>
          </w:p>
        </w:tc>
        <w:tc>
          <w:tcPr>
            <w:tcW w:w="2316" w:type="dxa"/>
          </w:tcPr>
          <w:p w:rsidR="00D26962" w:rsidRDefault="00085C01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What do our students know about fractions</w:t>
            </w:r>
          </w:p>
          <w:p w:rsidR="00085C01" w:rsidRDefault="00085C01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What do we want them to know</w:t>
            </w:r>
          </w:p>
          <w:p w:rsidR="00085C01" w:rsidRDefault="00085C01" w:rsidP="003E037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Gill Sans MT" w:hAnsi="Gill Sans MT"/>
                <w:lang w:val="en-CA"/>
              </w:rPr>
            </w:pPr>
            <w:r>
              <w:rPr>
                <w:rFonts w:ascii="Gill Sans MT" w:hAnsi="Gill Sans MT"/>
                <w:lang w:val="en-CA"/>
              </w:rPr>
              <w:t>How will we know they know it?</w:t>
            </w:r>
          </w:p>
        </w:tc>
        <w:tc>
          <w:tcPr>
            <w:tcW w:w="2676" w:type="dxa"/>
          </w:tcPr>
          <w:p w:rsidR="00D26962" w:rsidRDefault="00D26962" w:rsidP="00625D70">
            <w:pPr>
              <w:pStyle w:val="ListParagraph"/>
              <w:ind w:left="450"/>
              <w:rPr>
                <w:rFonts w:ascii="Gill Sans MT" w:hAnsi="Gill Sans MT"/>
                <w:lang w:val="en-CA"/>
              </w:rPr>
            </w:pPr>
          </w:p>
        </w:tc>
        <w:tc>
          <w:tcPr>
            <w:tcW w:w="5148" w:type="dxa"/>
          </w:tcPr>
          <w:p w:rsidR="00D26962" w:rsidRDefault="00D26962" w:rsidP="003E0373">
            <w:pPr>
              <w:pStyle w:val="ListParagraph"/>
              <w:ind w:left="450"/>
              <w:rPr>
                <w:rFonts w:ascii="Gill Sans MT" w:hAnsi="Gill Sans MT"/>
                <w:lang w:val="en-CA"/>
              </w:rPr>
            </w:pPr>
          </w:p>
        </w:tc>
      </w:tr>
    </w:tbl>
    <w:p w:rsidR="005B6877" w:rsidRDefault="005B6877" w:rsidP="005B6877">
      <w:pPr>
        <w:rPr>
          <w:rFonts w:ascii="Gill Sans MT" w:hAnsi="Gill Sans MT"/>
        </w:rPr>
      </w:pPr>
    </w:p>
    <w:p w:rsidR="005B6877" w:rsidRDefault="005B6877" w:rsidP="005B6877">
      <w:pPr>
        <w:spacing w:after="200" w:line="276" w:lineRule="auto"/>
        <w:rPr>
          <w:rFonts w:ascii="Gill Sans MT" w:hAnsi="Gill Sans MT"/>
        </w:rPr>
      </w:pPr>
      <w:r>
        <w:rPr>
          <w:rFonts w:ascii="Gill Sans MT" w:hAnsi="Gill Sans MT"/>
        </w:rPr>
        <w:t>Product:</w:t>
      </w:r>
      <w:r w:rsidR="0010659A">
        <w:rPr>
          <w:rFonts w:ascii="Gill Sans MT" w:hAnsi="Gill Sans MT"/>
        </w:rPr>
        <w:t xml:space="preserve"> Inquiry lessons on fractions</w:t>
      </w:r>
    </w:p>
    <w:p w:rsidR="00286F89" w:rsidRPr="00286F89" w:rsidRDefault="005B6877" w:rsidP="005B6877">
      <w:pPr>
        <w:spacing w:after="200" w:line="276" w:lineRule="auto"/>
        <w:rPr>
          <w:rFonts w:ascii="Gill Sans MT" w:hAnsi="Gill Sans MT"/>
        </w:rPr>
      </w:pPr>
      <w:r>
        <w:rPr>
          <w:rFonts w:ascii="Gill Sans MT" w:hAnsi="Gill Sans MT"/>
        </w:rPr>
        <w:t>Next Step: Planning fractions lessons in learning triads—using collaborative inquiry to test the effectiveness of our approaches.</w:t>
      </w:r>
    </w:p>
    <w:sectPr w:rsidR="00286F89" w:rsidRPr="00286F89" w:rsidSect="00A1798D">
      <w:pgSz w:w="15840" w:h="12240" w:orient="landscape"/>
      <w:pgMar w:top="547" w:right="1440" w:bottom="994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AE0"/>
    <w:multiLevelType w:val="hybridMultilevel"/>
    <w:tmpl w:val="AE0C9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0DD4"/>
    <w:rsid w:val="00085C01"/>
    <w:rsid w:val="0010659A"/>
    <w:rsid w:val="00132E6C"/>
    <w:rsid w:val="00177E29"/>
    <w:rsid w:val="00180DD4"/>
    <w:rsid w:val="001B13AF"/>
    <w:rsid w:val="00286F89"/>
    <w:rsid w:val="00422309"/>
    <w:rsid w:val="00486921"/>
    <w:rsid w:val="005B6877"/>
    <w:rsid w:val="00625D70"/>
    <w:rsid w:val="006A1904"/>
    <w:rsid w:val="007B0E39"/>
    <w:rsid w:val="00855926"/>
    <w:rsid w:val="00875400"/>
    <w:rsid w:val="008E5A6A"/>
    <w:rsid w:val="00975EAF"/>
    <w:rsid w:val="0099217F"/>
    <w:rsid w:val="00A1798D"/>
    <w:rsid w:val="00AA7D0E"/>
    <w:rsid w:val="00B64CAA"/>
    <w:rsid w:val="00C563EF"/>
    <w:rsid w:val="00D26962"/>
    <w:rsid w:val="00D3707E"/>
    <w:rsid w:val="00D5662C"/>
    <w:rsid w:val="00E6076E"/>
    <w:rsid w:val="00E707BA"/>
    <w:rsid w:val="00E82D8A"/>
    <w:rsid w:val="00F03C7A"/>
    <w:rsid w:val="00F22F4E"/>
    <w:rsid w:val="00F8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6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B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B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B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B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B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B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B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B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7B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B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B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B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B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B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7B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7B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B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7B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7B61"/>
    <w:rPr>
      <w:b/>
      <w:bCs/>
    </w:rPr>
  </w:style>
  <w:style w:type="character" w:styleId="Emphasis">
    <w:name w:val="Emphasis"/>
    <w:basedOn w:val="DefaultParagraphFont"/>
    <w:uiPriority w:val="20"/>
    <w:qFormat/>
    <w:rsid w:val="00F87B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7B61"/>
    <w:rPr>
      <w:szCs w:val="32"/>
    </w:rPr>
  </w:style>
  <w:style w:type="paragraph" w:styleId="ListParagraph">
    <w:name w:val="List Paragraph"/>
    <w:basedOn w:val="Normal"/>
    <w:uiPriority w:val="34"/>
    <w:qFormat/>
    <w:rsid w:val="00F87B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7B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7B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B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B61"/>
    <w:rPr>
      <w:b/>
      <w:i/>
      <w:sz w:val="24"/>
    </w:rPr>
  </w:style>
  <w:style w:type="character" w:styleId="SubtleEmphasis">
    <w:name w:val="Subtle Emphasis"/>
    <w:uiPriority w:val="19"/>
    <w:qFormat/>
    <w:rsid w:val="00F87B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7B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7B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7B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7B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B61"/>
    <w:pPr>
      <w:outlineLvl w:val="9"/>
    </w:pPr>
  </w:style>
  <w:style w:type="table" w:styleId="TableGrid">
    <w:name w:val="Table Grid"/>
    <w:basedOn w:val="TableNormal"/>
    <w:rsid w:val="001B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6F3E-DB7E-47C8-B970-662FCA18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13</cp:revision>
  <dcterms:created xsi:type="dcterms:W3CDTF">2011-03-04T14:58:00Z</dcterms:created>
  <dcterms:modified xsi:type="dcterms:W3CDTF">2011-03-08T20:17:00Z</dcterms:modified>
</cp:coreProperties>
</file>